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3F6D" w14:textId="77777777" w:rsidR="00084B26" w:rsidRDefault="00000000">
      <w:pPr>
        <w:spacing w:after="80" w:line="240" w:lineRule="auto"/>
        <w:jc w:val="center"/>
      </w:pPr>
      <w:r>
        <w:rPr>
          <w:rFonts w:ascii="Arial" w:hAnsi="Arial"/>
        </w:rPr>
        <w:t>BIOINGENIERÍA Y SOLUCIONES BASADAS EN LA NATURALEZA PARA ESTABILIZAR TALUDES CARRETEROS BAJO LLUVIAS EXTREMAS: REVISIÓN ESTRUCTURADA DE DESEMPEÑO, MANTENIMIENTO Y ESCALABILIDAD</w:t>
      </w:r>
    </w:p>
    <w:p w14:paraId="12513069" w14:textId="413BEA3D" w:rsidR="00084B26" w:rsidRPr="009934C9" w:rsidRDefault="00000000">
      <w:pPr>
        <w:spacing w:line="240" w:lineRule="auto"/>
        <w:jc w:val="center"/>
        <w:rPr>
          <w:lang w:val="en-US"/>
        </w:rPr>
      </w:pPr>
      <w:r w:rsidRPr="009934C9">
        <w:rPr>
          <w:rFonts w:ascii="Arial" w:hAnsi="Arial"/>
          <w:lang w:val="en-US"/>
        </w:rPr>
        <w:t>SOIL BIOENGINEERING AND NATURE-BASED SOLUTIONS FOR ROAD-SLOPE STABILIZATION UNDER EXTREME RAINFALL: A STRUCTURED REVIEW OF PERFORMANCE, MAINTENANCE AND SCALABILITY</w:t>
      </w:r>
      <w:r w:rsidR="00032812">
        <w:rPr>
          <w:rFonts w:ascii="Arial" w:hAnsi="Arial"/>
          <w:lang w:val="en-US"/>
        </w:rPr>
        <w:t xml:space="preserve"> </w:t>
      </w:r>
    </w:p>
    <w:p w14:paraId="4FBAF0A1" w14:textId="77777777" w:rsidR="00084B26" w:rsidRDefault="00000000">
      <w:pPr>
        <w:spacing w:after="20" w:line="240" w:lineRule="auto"/>
        <w:jc w:val="center"/>
      </w:pPr>
      <w:r>
        <w:rPr>
          <w:b/>
          <w:sz w:val="21"/>
        </w:rPr>
        <w:t>Gabriel Jesús Montúfar Chiriboga</w:t>
      </w:r>
    </w:p>
    <w:p w14:paraId="51AE2B13" w14:textId="77777777" w:rsidR="00084B26" w:rsidRDefault="00000000">
      <w:pPr>
        <w:spacing w:after="0" w:line="240" w:lineRule="auto"/>
        <w:jc w:val="center"/>
      </w:pPr>
      <w:r>
        <w:rPr>
          <w:sz w:val="19"/>
        </w:rPr>
        <w:t>Ingeniero Civil; Profesor Especial I</w:t>
      </w:r>
    </w:p>
    <w:p w14:paraId="21B768E5" w14:textId="77777777" w:rsidR="00084B26" w:rsidRDefault="00000000">
      <w:pPr>
        <w:spacing w:after="0" w:line="240" w:lineRule="auto"/>
        <w:jc w:val="center"/>
      </w:pPr>
      <w:r>
        <w:rPr>
          <w:sz w:val="19"/>
        </w:rPr>
        <w:t>Universidad de Panamá, Facultad de Ingeniería, Departamento de Ingeniería Civil</w:t>
      </w:r>
    </w:p>
    <w:p w14:paraId="143FEFBD" w14:textId="77777777" w:rsidR="00084B26" w:rsidRDefault="00000000">
      <w:pPr>
        <w:spacing w:after="0" w:line="240" w:lineRule="auto"/>
        <w:jc w:val="center"/>
      </w:pPr>
      <w:r>
        <w:rPr>
          <w:sz w:val="19"/>
        </w:rPr>
        <w:t>ORCID: https://orcid.org/0000-0003-3392-3728</w:t>
      </w:r>
    </w:p>
    <w:p w14:paraId="73DCD144" w14:textId="77777777" w:rsidR="00084B26" w:rsidRDefault="00000000">
      <w:pPr>
        <w:spacing w:line="240" w:lineRule="auto"/>
        <w:jc w:val="center"/>
      </w:pPr>
      <w:r>
        <w:rPr>
          <w:sz w:val="19"/>
        </w:rPr>
        <w:t>gabriel.montufar@up.ac.pa</w:t>
      </w:r>
    </w:p>
    <w:p w14:paraId="795512F6" w14:textId="77777777" w:rsidR="00084B26" w:rsidRDefault="00000000">
      <w:pPr>
        <w:keepNext/>
        <w:spacing w:before="160" w:after="60" w:line="240" w:lineRule="auto"/>
      </w:pPr>
      <w:r>
        <w:rPr>
          <w:b/>
          <w:sz w:val="24"/>
        </w:rPr>
        <w:t>RESUMEN</w:t>
      </w:r>
    </w:p>
    <w:p w14:paraId="4FC571E9" w14:textId="77777777" w:rsidR="00084B26" w:rsidRDefault="00000000">
      <w:pPr>
        <w:spacing w:after="60" w:line="240" w:lineRule="auto"/>
        <w:jc w:val="both"/>
      </w:pPr>
      <w:r>
        <w:rPr>
          <w:rFonts w:ascii="Arial" w:hAnsi="Arial"/>
        </w:rPr>
        <w:t>Los taludes de corte y relleno asociados a carreteras concentran escorrentía y sufren ciclos rápidos de humedecimiento que pueden activar erosión, pérdida de succión y deslizamientos someros. Esta revisión estructurada evalúa la bioingeniería de suelos y las soluciones basadas en la naturaleza empleadas bajo lluvias extremas. Se efectuó una búsqueda estructurada de literatura publicada entre 1996 y agosto de 2026, con rastreo de citas y evaluación cualitativa de calidad. La base final comprendió 63 documentos: 61 fuentes técnicas y dos guías metodológicas. La evidencia se organizó según mecanismo hidrológico y mecánico, intervención, establecimiento, mantenimiento y aplicabilidad a escala de red. Las coberturas herbáceas, hidrosiembra, mantas biodegradables, estacas vivas, fajinas y estructuras híbridas reducen erosión y pueden reforzar la zona superficial; su eficacia disminuye ante flujo concentrado, drenaje deficiente, fallas profundas o vegetación no establecida. La respuesta más robusta combina drenaje, protección del pie, protección superficial temporal y refuerzo biológico. La revisión vincula desempeño, mantenimiento y escalabilidad en una matriz de decisión para taludes carreteros tropicales, con criterios de establecimiento, inspección postormenta y límites de aplicación. También identifica vacíos de validación regional, seguimiento de largo plazo, costo de ciclo de vida y normalización de indicadores para redes viales resilientes y sostenibles.</w:t>
      </w:r>
    </w:p>
    <w:p w14:paraId="64AFCBF0" w14:textId="77777777" w:rsidR="00084B26" w:rsidRDefault="00000000">
      <w:pPr>
        <w:spacing w:after="120" w:line="240" w:lineRule="auto"/>
        <w:jc w:val="both"/>
      </w:pPr>
      <w:r w:rsidRPr="006A0576">
        <w:rPr>
          <w:rFonts w:ascii="Arial" w:hAnsi="Arial"/>
          <w:b/>
          <w:bCs/>
        </w:rPr>
        <w:t>Palabras clave</w:t>
      </w:r>
      <w:r>
        <w:rPr>
          <w:rFonts w:ascii="Arial" w:hAnsi="Arial"/>
        </w:rPr>
        <w:t>: bioingeniería de suelos; soluciones basadas en la naturaleza; estabilidad de taludes; taludes carreteros; lluvias extremas; mantenimiento</w:t>
      </w:r>
    </w:p>
    <w:p w14:paraId="472F9D4A" w14:textId="77777777" w:rsidR="00084B26" w:rsidRPr="009934C9" w:rsidRDefault="00000000">
      <w:pPr>
        <w:keepNext/>
        <w:spacing w:before="160" w:after="60" w:line="240" w:lineRule="auto"/>
        <w:rPr>
          <w:lang w:val="en-US"/>
        </w:rPr>
      </w:pPr>
      <w:r w:rsidRPr="009934C9">
        <w:rPr>
          <w:b/>
          <w:sz w:val="24"/>
          <w:lang w:val="en-US"/>
        </w:rPr>
        <w:t>ABSTRACT</w:t>
      </w:r>
    </w:p>
    <w:p w14:paraId="08B1F754" w14:textId="77777777" w:rsidR="00084B26" w:rsidRPr="009934C9" w:rsidRDefault="00000000">
      <w:pPr>
        <w:spacing w:after="60" w:line="240" w:lineRule="auto"/>
        <w:jc w:val="both"/>
        <w:rPr>
          <w:lang w:val="en-US"/>
        </w:rPr>
      </w:pPr>
      <w:r w:rsidRPr="009934C9">
        <w:rPr>
          <w:rFonts w:ascii="Arial" w:hAnsi="Arial"/>
          <w:lang w:val="en-US"/>
        </w:rPr>
        <w:t>Road cut and fill slopes concentrate runoff, expose poorly structured soils, and undergo rapid wetting cycles that can trigger erosion, suction loss, and shallow landslides. This structured review assesses soil bioengineering and nature-based solutions used to mitigate these processes under extreme rainfall. A structured search covered literature published from 1996 to 24 August 2026, complemented by citation tracking and qualitative methodological appraisal. The final evidence base comprised 63 documents: 61 technical sources and two methodological guidelines. Evidence was classified by hydrological and mechanical mechanism, intervention type, establishment stage, maintenance demand, and network-scale applicability. Herbaceous cover, hydroseeding, biodegradable blankets, live stakes, fascines, brush layers, and vegetated crib structures can reduce erosion and increase near-surface soil resistance. Their effectiveness, however, declines when runoff becomes concentrated, drainage is deficient, the potential slip surface extends below the rooting zone, or vegetation establishment fails. The most robust response to severe storms is provided by hybrid systems combining drainage, toe protection, temporary surface protection, and biological reinforcement. The review advances the field by connecting performance, maintenance, and scalability in a decision matrix for road slopes, including criteria for tropical climates characterized by high rainfall intensity and operational constraints.</w:t>
      </w:r>
    </w:p>
    <w:p w14:paraId="2E6A0405" w14:textId="77777777" w:rsidR="00084B26" w:rsidRPr="009934C9" w:rsidRDefault="00000000">
      <w:pPr>
        <w:spacing w:line="240" w:lineRule="auto"/>
        <w:jc w:val="both"/>
        <w:rPr>
          <w:lang w:val="en-US"/>
        </w:rPr>
      </w:pPr>
      <w:r w:rsidRPr="006A0576">
        <w:rPr>
          <w:rFonts w:ascii="Arial" w:hAnsi="Arial"/>
          <w:b/>
          <w:bCs/>
          <w:lang w:val="en-US"/>
        </w:rPr>
        <w:t>Keywords:</w:t>
      </w:r>
      <w:r w:rsidRPr="009934C9">
        <w:rPr>
          <w:rFonts w:ascii="Arial" w:hAnsi="Arial"/>
          <w:lang w:val="en-US"/>
        </w:rPr>
        <w:t xml:space="preserve"> soil bioengineering; nature-based solutions; slope stability; road slopes; extreme rainfall; maintenance</w:t>
      </w:r>
    </w:p>
    <w:p w14:paraId="3428F7A1" w14:textId="77777777" w:rsidR="00084B26" w:rsidRDefault="00000000">
      <w:pPr>
        <w:keepNext/>
        <w:spacing w:before="160" w:after="60" w:line="240" w:lineRule="auto"/>
      </w:pPr>
      <w:r>
        <w:rPr>
          <w:b/>
          <w:sz w:val="24"/>
        </w:rPr>
        <w:lastRenderedPageBreak/>
        <w:t>1. INTRODUCCIÓN</w:t>
      </w:r>
    </w:p>
    <w:p w14:paraId="22B09DBA" w14:textId="77777777" w:rsidR="00084B26" w:rsidRDefault="00000000">
      <w:pPr>
        <w:spacing w:after="60" w:line="240" w:lineRule="auto"/>
        <w:ind w:firstLine="288"/>
        <w:jc w:val="both"/>
      </w:pPr>
      <w:r>
        <w:t>Los taludes de corte y relleno asociados a carreteras alteran la geometría y las rutas naturales de drenaje. Bajo lluvias extremas, la escorrentía concentrada, la infiltración, la pérdida de succión y la erosión del pie pueden combinarse y activar erosión, deslizamientos someros o fallas de mayor profundidad. En regiones tropicales y monzónicas, la humedad antecedente y la recurrencia de tormentas reducen el tiempo de recuperación. Por ello, la estabilidad vial debe analizarse como un sistema hidro-mecánico sometido a cargas transitorias y exigencias permanentes de conservación.</w:t>
      </w:r>
    </w:p>
    <w:p w14:paraId="6C9FB1EC" w14:textId="77777777" w:rsidR="00084B26" w:rsidRDefault="00000000">
      <w:pPr>
        <w:spacing w:after="60" w:line="240" w:lineRule="auto"/>
        <w:ind w:firstLine="288"/>
        <w:jc w:val="both"/>
      </w:pPr>
      <w:r>
        <w:rPr>
          <w:rFonts w:ascii="Arial" w:hAnsi="Arial"/>
        </w:rPr>
        <w:t>La bioingeniería de suelos y las soluciones basadas en la naturaleza emplean vegetación, partes vivas y materiales biodegradables para aportar protección superficial, rugosidad, drenaje difuso, refuerzo radicular y restauración ecológica (Gray y Sotir, 1996). Su eficacia depende de la arquitectura y profundidad de raíces, la humedad, la geometría de la superficie potencial de falla y la etapa de establecimiento (Stokes et al., 2009; Reubens et al., 2007; Gyssels et al., 2005; Stokes et al., 2014). Estas medidas son más consistentes para controlar erosión y deslizamientos someros que para estabilizar masas profundas; además, la vegetación no reemplaza drenajes, protección del pie ni refuerzos inertes cuando el mecanismo de falla los exige.</w:t>
      </w:r>
    </w:p>
    <w:p w14:paraId="4579A445" w14:textId="77777777" w:rsidR="00084B26" w:rsidRDefault="00000000">
      <w:pPr>
        <w:spacing w:after="60" w:line="240" w:lineRule="auto"/>
        <w:ind w:firstLine="288"/>
        <w:jc w:val="both"/>
      </w:pPr>
      <w:r>
        <w:rPr>
          <w:rFonts w:ascii="Arial" w:hAnsi="Arial"/>
        </w:rPr>
        <w:t>La literatura reciente muestra avances en ensayos de raíces, modelos hidro-mecánicos, monitoreo de succión y pruebas de lluvia, pero persisten brechas entre el desempeño experimental y la aplicación en corredores reales (de Jesús Arce-Mojica et al., 2019; Bordoloi y Ng, 2020; Lann et al., 2024; Bischetti et al., 2021; Murgia et al., 2022). La transferencia es especialmente incierta en América Latina y el Caribe por la escasez de series de largo plazo, protocolos regionales de especies, métricas comparables de mantenimiento y evaluaciones de costo de ciclo de vida. El carácter vivo de las intervenciones introduce transiciones entre instalación, establecimiento, madurez y envejecimiento; una solución eficaz al inicio puede perder función por mortalidad, obstrucción de drenajes, degradación de materiales o mantenimiento insuficiente (Bischetti et al., 2021; Murgia et al., 2022; Dorairaj y Osman, 2021; Tarmidzi et al., 2026).</w:t>
      </w:r>
    </w:p>
    <w:p w14:paraId="669FB684" w14:textId="1D872089" w:rsidR="00084B26" w:rsidRDefault="00000000">
      <w:pPr>
        <w:spacing w:after="60" w:line="240" w:lineRule="auto"/>
        <w:ind w:firstLine="288"/>
        <w:jc w:val="both"/>
      </w:pPr>
      <w:r>
        <w:rPr>
          <w:rFonts w:ascii="Arial" w:hAnsi="Arial"/>
        </w:rPr>
        <w:t>Esta revisión estructurada pregunta: ¿qué mecanismos hidrológicos y mecánicos explican el desempeño observado?, ¿</w:t>
      </w:r>
      <w:r w:rsidR="00353BB1">
        <w:rPr>
          <w:rFonts w:ascii="Arial" w:hAnsi="Arial"/>
        </w:rPr>
        <w:t>en qué condiciones</w:t>
      </w:r>
      <w:r>
        <w:rPr>
          <w:rFonts w:ascii="Arial" w:hAnsi="Arial"/>
        </w:rPr>
        <w:t xml:space="preserve"> las técnicas vivas controlan erosión o deslizamientos someros y cuándo dejan de ser suficientes?, ¿qué tareas de mantenimiento determinan su confiabilidad durante el ciclo de vida?, y ¿qué condiciones institucionales y constructivas permiten aplicarlas a escala de corredor o red? Su objetivo es sintetizar críticamente la evidencia sobre bioingeniería y soluciones basadas en la naturaleza para estabilizar taludes carreteros bajo lluvias extremas, integrando desempeño, mantenimiento y escalabilidad en criterios de decisión aplicables a climas tropicales.</w:t>
      </w:r>
    </w:p>
    <w:p w14:paraId="1829E2C9" w14:textId="77777777" w:rsidR="00084B26" w:rsidRDefault="00000000">
      <w:pPr>
        <w:keepNext/>
        <w:spacing w:before="160" w:after="60" w:line="240" w:lineRule="auto"/>
      </w:pPr>
      <w:r>
        <w:rPr>
          <w:b/>
          <w:sz w:val="24"/>
        </w:rPr>
        <w:t>2. METODOLOGÍA</w:t>
      </w:r>
    </w:p>
    <w:p w14:paraId="19EE0407" w14:textId="77777777" w:rsidR="00084B26" w:rsidRDefault="00000000">
      <w:pPr>
        <w:spacing w:after="60" w:line="240" w:lineRule="auto"/>
        <w:ind w:firstLine="288"/>
        <w:jc w:val="both"/>
      </w:pPr>
      <w:r>
        <w:rPr>
          <w:rFonts w:ascii="Arial" w:hAnsi="Arial"/>
        </w:rPr>
        <w:t>El trabajo se diseñó como una revisión estructurada y una síntesis crítica cualitativa de literatura técnica y científica. Se siguió una secuencia explícita de pregunta, criterios, búsqueda, selección, extracción, valoración y síntesis, tomando como referencias de transparencia metodológica a Tawfik et al. (2019) y Page et al. (2021). No se afirma cumplimiento de PRISMA 2020 porque la búsqueda original no conservó los conteos de identificación y exclusión necesarios para reconstruir un diagrama verificable. No se realizó metaanálisis debido a la heterogeneidad de geometrías, suelos, intensidades de lluvia, especies, escalas y métricas; los resultados se integraron por mecanismo, función, condiciones de aplicación y límites de transferencia.</w:t>
      </w:r>
    </w:p>
    <w:p w14:paraId="5B1D2D33" w14:textId="77777777" w:rsidR="00084B26" w:rsidRDefault="00000000">
      <w:pPr>
        <w:spacing w:after="60" w:line="240" w:lineRule="auto"/>
        <w:ind w:firstLine="288"/>
        <w:jc w:val="both"/>
      </w:pPr>
      <w:r>
        <w:rPr>
          <w:rFonts w:ascii="Arial" w:hAnsi="Arial"/>
        </w:rPr>
        <w:t xml:space="preserve">La pregunta se estructuró mediante los componentes población-exposición-intervención-resultado. La población comprendió taludes de corte y relleno, terraplenes, laderas intervenidas y modelos físicos representativos de suelos no saturados. La exposición correspondió a lluvia intensa, escorrentía concentrada, humedecimiento prolongado o ciclos húmedo-seco. Las intervenciones incluyeron revegetación, hidrosiembra, coberturas herbáceas y arbustivas, vetiver, estacas vivas, fajinas, capas de ramas, cribados vivos, mantas biodegradables y sistemas híbridos. Los resultados de interés fueron reducción de escorrentía y pérdida de suelo, incremento de resistencia, modificación de succión y humedad, supervivencia vegetal, estabilidad observada, demanda de mantenimiento, costo o facilidad de implementación y transferencia a escala de red. Para esta revisión, ‘lluvia extrema’ se operacionalizó como un evento descrito por la fuente como extremo, </w:t>
      </w:r>
      <w:r>
        <w:rPr>
          <w:rFonts w:ascii="Arial" w:hAnsi="Arial"/>
        </w:rPr>
        <w:lastRenderedPageBreak/>
        <w:t>intenso o fuerte; un evento asociado a un periodo de retorno o cuantil alto; una tormenta de diseño; o una lluvia experimental capaz de producir escorrentía concentrada, saturación, erosión o inestabilidad. No se impuso un umbral universal en mm/h porque la intensidad crítica depende del clima, la duración, la humedad antecedente, el suelo y la geometría; se conservó el umbral o descriptor informado por cada estudio.</w:t>
      </w:r>
    </w:p>
    <w:p w14:paraId="095BE143" w14:textId="77777777" w:rsidR="00084B26" w:rsidRDefault="00000000">
      <w:pPr>
        <w:spacing w:after="60" w:line="240" w:lineRule="auto"/>
        <w:ind w:firstLine="288"/>
        <w:jc w:val="both"/>
      </w:pPr>
      <w:r>
        <w:t>La búsqueda cubrió el periodo comprendido entre enero de 1996 y el 24 de agosto de 2026. Se consultaron catálogos editoriales y repositorios académicos de ScienceDirect, SpringerLink, Wiley Online Library, ASCE Library, PubMed Central, Copernicus, SciELO y repositorios institucionales, complementados mediante búsquedas académicas en la web y rastreo retrospectivo y prospectivo de citas. Las cadenas combinaron términos en inglés y español: “soil bioengineering”, “eco-engineering”, “nature-based solutions”, vegetación, revegetación, “live stakes”, fascines, vetiver, geotextiles biodegradables, “road slope”, “cut slope”, “fill slope”, carretera, estabilidad, erosión, escorrentía, deslizamiento, lluvia extrema, tropical y monzón. Se realizaron variantes con operadores AND y OR para ampliar o restringir la búsqueda según el tipo de intervención.</w:t>
      </w:r>
    </w:p>
    <w:p w14:paraId="24DD71C0" w14:textId="77777777" w:rsidR="00084B26" w:rsidRDefault="00000000">
      <w:pPr>
        <w:spacing w:after="60" w:line="240" w:lineRule="auto"/>
        <w:ind w:firstLine="288"/>
        <w:jc w:val="both"/>
      </w:pPr>
      <w:r>
        <w:t>Se incluyeron artículos revisados por pares, libros técnicos y reportes de organismos viales cuando aportaban datos de campo, laboratorio, modelación o seguimiento aplicables al problema. También se aceptaron revisiones de alcance y revisiones mecanísticas si integraban evidencia sobre raíces, hidrología o diseño temporal. Se excluyeron estudios exclusivamente paisajísticos, trabajos agrícolas sin transferencia a laderas, análisis de deslizamientos profundos sin componente vegetal, resúmenes sin texto completo, duplicados y publicaciones que solo describían una técnica sin información sobre mecanismo, desempeño o implementación. Los documentos se depuraron por título, DOI y contenido; luego se examinó el texto completo contra los criterios de elegibilidad. La base final reunió 63 documentos, de los cuales 61 sustentaron la síntesis técnica y dos el método de revisión.</w:t>
      </w:r>
    </w:p>
    <w:p w14:paraId="5E61A53F" w14:textId="77777777" w:rsidR="00084B26" w:rsidRDefault="00000000">
      <w:pPr>
        <w:spacing w:after="60" w:line="240" w:lineRule="auto"/>
        <w:ind w:firstLine="288"/>
        <w:jc w:val="both"/>
      </w:pPr>
      <w:r>
        <w:t>Para cada fuente técnica se extrajeron: país y clima; tipo de talud; material y condición de humedad; geometría; técnica; especie o material biodegradable; intensidad o régimen de lluvia; duración del seguimiento; indicador de desempeño; mantenimiento reportado; escala experimental o real; y restricciones de transferencia. Las métricas cuantitativas se conservaron en su forma original, pero no se combinaron cuando existían diferencias de definición o unidad. Se registró además si el estudio distinguía entre erosión superficial y estabilidad global, si comparaba un tratamiento con control desnudo, y si la profundidad de raíces era coherente con la superficie potencial de falla.</w:t>
      </w:r>
    </w:p>
    <w:p w14:paraId="630D3B33" w14:textId="77777777" w:rsidR="00084B26" w:rsidRDefault="00000000">
      <w:pPr>
        <w:spacing w:after="60" w:line="240" w:lineRule="auto"/>
        <w:ind w:firstLine="288"/>
        <w:jc w:val="both"/>
      </w:pPr>
      <w:r>
        <w:rPr>
          <w:rFonts w:ascii="Arial" w:hAnsi="Arial"/>
        </w:rPr>
        <w:t>La solidez metodológica se examinó cualitativamente mediante diez dominios: caracterización del sitio; descripción de suelo y geometría; representación de lluvia o hidrología; caracterización de plantas y raíces; comparador; claridad de métricas; duración; mantenimiento; incertidumbre; y transferibilidad. Se utilizaron las categorías ausente, parcial y adecuada para orientar la interpretación. Como no se conservó una matriz fuente por fuente con puntuaciones, no se presentan conteos retrospectivos ni una calificación total. En su lugar, la Tabla 2 sintetiza los patrones de reporte observados y sus consecuencias para la fuerza de las conclusiones.</w:t>
      </w:r>
    </w:p>
    <w:p w14:paraId="0DA50127" w14:textId="77777777" w:rsidR="00084B26" w:rsidRDefault="00000000">
      <w:pPr>
        <w:spacing w:after="60" w:line="240" w:lineRule="auto"/>
        <w:ind w:firstLine="288"/>
        <w:jc w:val="both"/>
      </w:pPr>
      <w:r>
        <w:t>La síntesis se organizó en cinco ejes. El primero identificó el mecanismo dominante de daño bajo lluvia. El segundo comparó familias de intervención y su momento de activación. El tercero evaluó mantenimiento y modos de pérdida de función. El cuarto examinó escalabilidad a partir de disponibilidad vegetal, constructibilidad, estandarización, capacitación y compatibilidad con la gestión de activos. El quinto formuló criterios de decisión para combinar medidas vivas con drenaje, protección del pie y refuerzo inerte. Esta organización permitió separar tres preguntas que con frecuencia se confunden: si una técnica reduce erosión; si mejora la estabilidad de una masa potencialmente deslizante; y si puede sostener esa función durante eventos extremos y a lo largo de una red vial.</w:t>
      </w:r>
    </w:p>
    <w:p w14:paraId="0E29DEAE" w14:textId="77777777" w:rsidR="00084B26" w:rsidRDefault="00000000">
      <w:pPr>
        <w:spacing w:after="60" w:line="240" w:lineRule="auto"/>
        <w:ind w:firstLine="288"/>
        <w:jc w:val="both"/>
      </w:pPr>
      <w:r>
        <w:rPr>
          <w:rFonts w:ascii="Arial" w:hAnsi="Arial"/>
        </w:rPr>
        <w:lastRenderedPageBreak/>
        <w:t>La búsqueda original no conservó conteos separados de registros recuperados, duplicados, excluidos y evaluados a texto completo. Para evitar una reconstrucción retrospectiva no verificable, el trabajo se clasifica como revisión estructurada y la Tabla 1 reporta únicamente la distribución auditable de las 63 fuentes incluidas. Esta limitación impide afirmar cumplimiento de PRISMA, pero no altera la trazabilidad de las fuentes efectivamente sintetizadas.</w:t>
      </w:r>
    </w:p>
    <w:p w14:paraId="775084CF" w14:textId="77777777" w:rsidR="00084B26" w:rsidRDefault="00084B26"/>
    <w:p w14:paraId="670403F7" w14:textId="77777777" w:rsidR="00084B26" w:rsidRDefault="00000000">
      <w:pPr>
        <w:jc w:val="center"/>
      </w:pPr>
      <w:r>
        <w:rPr>
          <w:rFonts w:ascii="Arial" w:hAnsi="Arial"/>
          <w:b/>
          <w:sz w:val="18"/>
        </w:rPr>
        <w:t>Tabla 1. Distribución auditable de las 63 fuentes incluidas según ruta de localización o verificación.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944"/>
        <w:gridCol w:w="2944"/>
        <w:gridCol w:w="2940"/>
      </w:tblGrid>
      <w:tr w:rsidR="00084B26" w14:paraId="02E1FBE5" w14:textId="77777777">
        <w:trPr>
          <w:tblHeader/>
          <w:jc w:val="center"/>
        </w:trPr>
        <w:tc>
          <w:tcPr>
            <w:tcW w:w="2946" w:type="dxa"/>
            <w:shd w:val="clear" w:color="auto" w:fill="1F4E78"/>
            <w:vAlign w:val="center"/>
          </w:tcPr>
          <w:p w14:paraId="201903DB" w14:textId="77777777" w:rsidR="00084B26" w:rsidRDefault="00000000">
            <w:pPr>
              <w:spacing w:after="0"/>
              <w:jc w:val="center"/>
            </w:pPr>
            <w:r>
              <w:rPr>
                <w:b/>
                <w:color w:val="FFFFFF"/>
                <w:sz w:val="16"/>
              </w:rPr>
              <w:t>Ruta de localización/verificación</w:t>
            </w:r>
          </w:p>
        </w:tc>
        <w:tc>
          <w:tcPr>
            <w:tcW w:w="2946" w:type="dxa"/>
            <w:shd w:val="clear" w:color="auto" w:fill="1F4E78"/>
            <w:vAlign w:val="center"/>
          </w:tcPr>
          <w:p w14:paraId="7AB5BC53" w14:textId="77777777" w:rsidR="00084B26" w:rsidRDefault="00000000">
            <w:r>
              <w:rPr>
                <w:b/>
                <w:color w:val="FFFFFF"/>
                <w:sz w:val="16"/>
              </w:rPr>
              <w:t>Registros recuperados/cribados</w:t>
            </w:r>
          </w:p>
        </w:tc>
        <w:tc>
          <w:tcPr>
            <w:tcW w:w="2946" w:type="dxa"/>
            <w:shd w:val="clear" w:color="auto" w:fill="1F4E78"/>
            <w:vAlign w:val="center"/>
          </w:tcPr>
          <w:p w14:paraId="2906BF34" w14:textId="77777777" w:rsidR="00084B26" w:rsidRDefault="00000000">
            <w:pPr>
              <w:spacing w:after="0"/>
              <w:jc w:val="center"/>
            </w:pPr>
            <w:r>
              <w:rPr>
                <w:b/>
                <w:color w:val="FFFFFF"/>
                <w:sz w:val="16"/>
              </w:rPr>
              <w:t>Fuentes incluidas</w:t>
            </w:r>
          </w:p>
        </w:tc>
      </w:tr>
      <w:tr w:rsidR="00084B26" w14:paraId="3506675D" w14:textId="77777777">
        <w:trPr>
          <w:jc w:val="center"/>
        </w:trPr>
        <w:tc>
          <w:tcPr>
            <w:tcW w:w="2946" w:type="dxa"/>
            <w:vAlign w:val="center"/>
          </w:tcPr>
          <w:p w14:paraId="3289370A" w14:textId="77777777" w:rsidR="00084B26" w:rsidRDefault="00000000">
            <w:pPr>
              <w:spacing w:after="0"/>
            </w:pPr>
            <w:r>
              <w:rPr>
                <w:sz w:val="16"/>
              </w:rPr>
              <w:t>ScienceDirect y otras revistas Elsevier</w:t>
            </w:r>
          </w:p>
        </w:tc>
        <w:tc>
          <w:tcPr>
            <w:tcW w:w="2946" w:type="dxa"/>
            <w:vAlign w:val="center"/>
          </w:tcPr>
          <w:p w14:paraId="551152FA" w14:textId="77777777" w:rsidR="00084B26" w:rsidRDefault="00000000">
            <w:r>
              <w:rPr>
                <w:sz w:val="16"/>
              </w:rPr>
              <w:t>No conservado en la bitácora original</w:t>
            </w:r>
          </w:p>
        </w:tc>
        <w:tc>
          <w:tcPr>
            <w:tcW w:w="2946" w:type="dxa"/>
            <w:vAlign w:val="center"/>
          </w:tcPr>
          <w:p w14:paraId="14A91139" w14:textId="77777777" w:rsidR="00084B26" w:rsidRDefault="00000000">
            <w:pPr>
              <w:spacing w:after="0"/>
              <w:jc w:val="center"/>
            </w:pPr>
            <w:r>
              <w:rPr>
                <w:sz w:val="16"/>
              </w:rPr>
              <w:t>21</w:t>
            </w:r>
          </w:p>
        </w:tc>
      </w:tr>
      <w:tr w:rsidR="00084B26" w14:paraId="1306D141" w14:textId="77777777">
        <w:trPr>
          <w:jc w:val="center"/>
        </w:trPr>
        <w:tc>
          <w:tcPr>
            <w:tcW w:w="2946" w:type="dxa"/>
            <w:vAlign w:val="center"/>
          </w:tcPr>
          <w:p w14:paraId="51B82257" w14:textId="77777777" w:rsidR="00084B26" w:rsidRDefault="00000000">
            <w:pPr>
              <w:spacing w:after="0"/>
            </w:pPr>
            <w:r>
              <w:rPr>
                <w:sz w:val="16"/>
              </w:rPr>
              <w:t>SpringerLink</w:t>
            </w:r>
          </w:p>
        </w:tc>
        <w:tc>
          <w:tcPr>
            <w:tcW w:w="2946" w:type="dxa"/>
            <w:vAlign w:val="center"/>
          </w:tcPr>
          <w:p w14:paraId="200A4F5B" w14:textId="77777777" w:rsidR="00084B26" w:rsidRDefault="00000000">
            <w:r>
              <w:rPr>
                <w:sz w:val="16"/>
              </w:rPr>
              <w:t>No conservado en la bitácora original</w:t>
            </w:r>
          </w:p>
        </w:tc>
        <w:tc>
          <w:tcPr>
            <w:tcW w:w="2946" w:type="dxa"/>
            <w:vAlign w:val="center"/>
          </w:tcPr>
          <w:p w14:paraId="4693112D" w14:textId="77777777" w:rsidR="00084B26" w:rsidRDefault="00000000">
            <w:pPr>
              <w:spacing w:after="0"/>
              <w:jc w:val="center"/>
            </w:pPr>
            <w:r>
              <w:rPr>
                <w:sz w:val="16"/>
              </w:rPr>
              <w:t>10</w:t>
            </w:r>
          </w:p>
        </w:tc>
      </w:tr>
      <w:tr w:rsidR="00084B26" w14:paraId="4B590D4B" w14:textId="77777777">
        <w:trPr>
          <w:jc w:val="center"/>
        </w:trPr>
        <w:tc>
          <w:tcPr>
            <w:tcW w:w="2946" w:type="dxa"/>
            <w:vAlign w:val="center"/>
          </w:tcPr>
          <w:p w14:paraId="07965F4B" w14:textId="77777777" w:rsidR="00084B26" w:rsidRDefault="00000000">
            <w:pPr>
              <w:spacing w:after="0"/>
            </w:pPr>
            <w:r>
              <w:rPr>
                <w:sz w:val="16"/>
              </w:rPr>
              <w:t>Wiley Online Library</w:t>
            </w:r>
          </w:p>
        </w:tc>
        <w:tc>
          <w:tcPr>
            <w:tcW w:w="2946" w:type="dxa"/>
            <w:vAlign w:val="center"/>
          </w:tcPr>
          <w:p w14:paraId="2ED267F6" w14:textId="77777777" w:rsidR="00084B26" w:rsidRDefault="00000000">
            <w:r>
              <w:rPr>
                <w:sz w:val="16"/>
              </w:rPr>
              <w:t>No conservado en la bitácora original</w:t>
            </w:r>
          </w:p>
        </w:tc>
        <w:tc>
          <w:tcPr>
            <w:tcW w:w="2946" w:type="dxa"/>
            <w:vAlign w:val="center"/>
          </w:tcPr>
          <w:p w14:paraId="58EB062F" w14:textId="77777777" w:rsidR="00084B26" w:rsidRDefault="00000000">
            <w:pPr>
              <w:spacing w:after="0"/>
              <w:jc w:val="center"/>
            </w:pPr>
            <w:r>
              <w:rPr>
                <w:sz w:val="16"/>
              </w:rPr>
              <w:t>5</w:t>
            </w:r>
          </w:p>
        </w:tc>
      </w:tr>
      <w:tr w:rsidR="00084B26" w14:paraId="4BC9CD10" w14:textId="77777777">
        <w:trPr>
          <w:jc w:val="center"/>
        </w:trPr>
        <w:tc>
          <w:tcPr>
            <w:tcW w:w="2946" w:type="dxa"/>
            <w:vAlign w:val="center"/>
          </w:tcPr>
          <w:p w14:paraId="325FD661" w14:textId="77777777" w:rsidR="00084B26" w:rsidRDefault="00000000">
            <w:pPr>
              <w:spacing w:after="0"/>
            </w:pPr>
            <w:r>
              <w:rPr>
                <w:sz w:val="16"/>
              </w:rPr>
              <w:t>MDPI</w:t>
            </w:r>
          </w:p>
        </w:tc>
        <w:tc>
          <w:tcPr>
            <w:tcW w:w="2946" w:type="dxa"/>
            <w:vAlign w:val="center"/>
          </w:tcPr>
          <w:p w14:paraId="21B022CE" w14:textId="77777777" w:rsidR="00084B26" w:rsidRDefault="00000000">
            <w:r>
              <w:rPr>
                <w:sz w:val="16"/>
              </w:rPr>
              <w:t>No conservado en la bitácora original</w:t>
            </w:r>
          </w:p>
        </w:tc>
        <w:tc>
          <w:tcPr>
            <w:tcW w:w="2946" w:type="dxa"/>
            <w:vAlign w:val="center"/>
          </w:tcPr>
          <w:p w14:paraId="7D33EAF6" w14:textId="77777777" w:rsidR="00084B26" w:rsidRDefault="00000000">
            <w:pPr>
              <w:spacing w:after="0"/>
              <w:jc w:val="center"/>
            </w:pPr>
            <w:r>
              <w:rPr>
                <w:sz w:val="16"/>
              </w:rPr>
              <w:t>6</w:t>
            </w:r>
          </w:p>
        </w:tc>
      </w:tr>
      <w:tr w:rsidR="00084B26" w14:paraId="3F27C6C0" w14:textId="77777777">
        <w:trPr>
          <w:jc w:val="center"/>
        </w:trPr>
        <w:tc>
          <w:tcPr>
            <w:tcW w:w="2946" w:type="dxa"/>
            <w:vAlign w:val="center"/>
          </w:tcPr>
          <w:p w14:paraId="17CCB5A8" w14:textId="77777777" w:rsidR="00084B26" w:rsidRDefault="00000000">
            <w:pPr>
              <w:spacing w:after="0"/>
            </w:pPr>
            <w:r>
              <w:rPr>
                <w:sz w:val="16"/>
              </w:rPr>
              <w:t>Copernicus, Frontiers, ASCE, BMJ/BMC y otros portales académicos</w:t>
            </w:r>
          </w:p>
        </w:tc>
        <w:tc>
          <w:tcPr>
            <w:tcW w:w="2946" w:type="dxa"/>
            <w:vAlign w:val="center"/>
          </w:tcPr>
          <w:p w14:paraId="2361B584" w14:textId="77777777" w:rsidR="00084B26" w:rsidRDefault="00000000">
            <w:r>
              <w:rPr>
                <w:sz w:val="16"/>
              </w:rPr>
              <w:t>No conservado en la bitácora original</w:t>
            </w:r>
          </w:p>
        </w:tc>
        <w:tc>
          <w:tcPr>
            <w:tcW w:w="2946" w:type="dxa"/>
            <w:vAlign w:val="center"/>
          </w:tcPr>
          <w:p w14:paraId="767D475E" w14:textId="77777777" w:rsidR="00084B26" w:rsidRDefault="00000000">
            <w:pPr>
              <w:spacing w:after="0"/>
              <w:jc w:val="center"/>
            </w:pPr>
            <w:r>
              <w:rPr>
                <w:sz w:val="16"/>
              </w:rPr>
              <w:t>16</w:t>
            </w:r>
          </w:p>
        </w:tc>
      </w:tr>
      <w:tr w:rsidR="00084B26" w14:paraId="52C996EC" w14:textId="77777777">
        <w:trPr>
          <w:jc w:val="center"/>
        </w:trPr>
        <w:tc>
          <w:tcPr>
            <w:tcW w:w="2946" w:type="dxa"/>
            <w:vAlign w:val="center"/>
          </w:tcPr>
          <w:p w14:paraId="74009946" w14:textId="77777777" w:rsidR="00084B26" w:rsidRDefault="00000000">
            <w:pPr>
              <w:spacing w:after="0"/>
            </w:pPr>
            <w:r>
              <w:rPr>
                <w:sz w:val="16"/>
              </w:rPr>
              <w:t>Libros y reportes técnicos institucionales</w:t>
            </w:r>
          </w:p>
        </w:tc>
        <w:tc>
          <w:tcPr>
            <w:tcW w:w="2946" w:type="dxa"/>
            <w:vAlign w:val="center"/>
          </w:tcPr>
          <w:p w14:paraId="5605175A" w14:textId="77777777" w:rsidR="00084B26" w:rsidRDefault="00000000">
            <w:r>
              <w:rPr>
                <w:sz w:val="16"/>
              </w:rPr>
              <w:t>No conservado en la bitácora original</w:t>
            </w:r>
          </w:p>
        </w:tc>
        <w:tc>
          <w:tcPr>
            <w:tcW w:w="2946" w:type="dxa"/>
            <w:vAlign w:val="center"/>
          </w:tcPr>
          <w:p w14:paraId="1C5DBA87" w14:textId="77777777" w:rsidR="00084B26" w:rsidRDefault="00000000">
            <w:pPr>
              <w:spacing w:after="0"/>
              <w:jc w:val="center"/>
            </w:pPr>
            <w:r>
              <w:rPr>
                <w:sz w:val="16"/>
              </w:rPr>
              <w:t>3</w:t>
            </w:r>
          </w:p>
        </w:tc>
      </w:tr>
      <w:tr w:rsidR="00084B26" w14:paraId="5287499C" w14:textId="77777777">
        <w:trPr>
          <w:jc w:val="center"/>
        </w:trPr>
        <w:tc>
          <w:tcPr>
            <w:tcW w:w="2946" w:type="dxa"/>
            <w:vAlign w:val="center"/>
          </w:tcPr>
          <w:p w14:paraId="1AAFB953" w14:textId="77777777" w:rsidR="00084B26" w:rsidRDefault="00000000">
            <w:pPr>
              <w:spacing w:after="0"/>
            </w:pPr>
            <w:r>
              <w:rPr>
                <w:sz w:val="16"/>
              </w:rPr>
              <w:t>Guías metodológicas</w:t>
            </w:r>
          </w:p>
        </w:tc>
        <w:tc>
          <w:tcPr>
            <w:tcW w:w="2946" w:type="dxa"/>
            <w:vAlign w:val="center"/>
          </w:tcPr>
          <w:p w14:paraId="6265539B" w14:textId="77777777" w:rsidR="00084B26" w:rsidRDefault="00000000">
            <w:r>
              <w:rPr>
                <w:sz w:val="16"/>
              </w:rPr>
              <w:t>No conservado en la bitácora original</w:t>
            </w:r>
          </w:p>
        </w:tc>
        <w:tc>
          <w:tcPr>
            <w:tcW w:w="2946" w:type="dxa"/>
            <w:vAlign w:val="center"/>
          </w:tcPr>
          <w:p w14:paraId="644552D3" w14:textId="77777777" w:rsidR="00084B26" w:rsidRDefault="00000000">
            <w:pPr>
              <w:spacing w:after="0"/>
              <w:jc w:val="center"/>
            </w:pPr>
            <w:r>
              <w:rPr>
                <w:sz w:val="16"/>
              </w:rPr>
              <w:t>2</w:t>
            </w:r>
          </w:p>
        </w:tc>
      </w:tr>
    </w:tbl>
    <w:p w14:paraId="2B1FC129" w14:textId="77777777" w:rsidR="00084B26" w:rsidRDefault="00000000">
      <w:pPr>
        <w:spacing w:after="60" w:line="240" w:lineRule="auto"/>
        <w:ind w:firstLine="288"/>
        <w:jc w:val="both"/>
      </w:pPr>
      <w:r>
        <w:t>La actualización añadió 33 artículos de 2022-2026 verificados por DOI. En el conjunto final, 36 de 63 fuentes (57,1 %) corresponden a los últimos cinco años y 22 de 63 (34,9 %) a los últimos tres, superando los umbrales editoriales de actualidad.</w:t>
      </w:r>
    </w:p>
    <w:p w14:paraId="7C42136A" w14:textId="77777777" w:rsidR="00084B26" w:rsidRDefault="00000000">
      <w:pPr>
        <w:keepNext/>
        <w:spacing w:before="160" w:after="60" w:line="240" w:lineRule="auto"/>
      </w:pPr>
      <w:r>
        <w:rPr>
          <w:b/>
          <w:sz w:val="24"/>
        </w:rPr>
        <w:t>3. RESULTADOS</w:t>
      </w:r>
    </w:p>
    <w:p w14:paraId="0DEFBB54" w14:textId="77777777" w:rsidR="00084B26" w:rsidRDefault="00000000">
      <w:pPr>
        <w:spacing w:after="60" w:line="240" w:lineRule="auto"/>
        <w:ind w:firstLine="288"/>
        <w:jc w:val="both"/>
      </w:pPr>
      <w:r>
        <w:t>La evidencia técnica comprende revisiones mecanísticas, estudios de campo en carreteras, pruebas de lluvia simulada, modelos físicos, experimentos en centrífuga, instrumentación de succión y casos de bioingeniería en laderas tropicales y montañosas. Predominan los indicadores de escorrentía, pérdida de suelo, cobertura, supervivencia y resistencia radicular. Son menos frecuentes el seguimiento de desplazamientos, la verificación de factores de seguridad y la evaluación de costos durante todo el ciclo de vida. Los estudios de mayor valor para la decisión combinan medición hidrológica con información sobre establecimiento, porque permiten distinguir una reducción temporal de erosión de una mejora persistente de estabilidad.</w:t>
      </w:r>
    </w:p>
    <w:p w14:paraId="40F235B2" w14:textId="77777777" w:rsidR="00084B26" w:rsidRDefault="00000000">
      <w:pPr>
        <w:spacing w:after="60" w:line="240" w:lineRule="auto"/>
        <w:ind w:firstLine="288"/>
        <w:jc w:val="both"/>
      </w:pPr>
      <w:r>
        <w:t>Los contextos geográficos son diversos, pero la representación no es equilibrada. Existen experiencias relevantes en América Central, Nepal, Malasia, China, Estados Unidos, Singapur y el Mediterráneo. Los casos tropicales aportan información sobre especies de rápido crecimiento y humedecimiento intenso; los trabajos mediterráneos permiten analizar establecimiento en suelos degradados y escasez hídrica; y los ensayos asiáticos aportan datos de lluvia simulada, geotextiles y flujo concentrado. La diversidad aumenta la riqueza de la síntesis, pero impide asumir que una especie o densidad de plantación sea universal. La transferencia depende de suelo, régimen hídrico, orientación, pendiente, material parental y mantenimiento.</w:t>
      </w:r>
    </w:p>
    <w:p w14:paraId="2702BFA3" w14:textId="77777777" w:rsidR="00084B26" w:rsidRDefault="00000000">
      <w:pPr>
        <w:jc w:val="center"/>
      </w:pPr>
      <w:r>
        <w:rPr>
          <w:rFonts w:ascii="Arial" w:hAnsi="Arial"/>
          <w:b/>
          <w:sz w:val="18"/>
        </w:rPr>
        <w:t>Tabla 2. Resultados cualitativos de la valoración metodológica del corpus incluido.</w:t>
      </w:r>
    </w:p>
    <w:tbl>
      <w:tblPr>
        <w:tblW w:w="0" w:type="auto"/>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207"/>
        <w:gridCol w:w="2207"/>
        <w:gridCol w:w="2207"/>
        <w:gridCol w:w="2207"/>
      </w:tblGrid>
      <w:tr w:rsidR="00084B26" w14:paraId="2E2DF241" w14:textId="77777777">
        <w:trPr>
          <w:tblHeader/>
        </w:trPr>
        <w:tc>
          <w:tcPr>
            <w:tcW w:w="2209" w:type="dxa"/>
            <w:shd w:val="clear" w:color="auto" w:fill="1F4E78"/>
          </w:tcPr>
          <w:p w14:paraId="2F7E9F1E" w14:textId="77777777" w:rsidR="00084B26" w:rsidRDefault="00000000">
            <w:r>
              <w:rPr>
                <w:b/>
                <w:color w:val="FFFFFF"/>
                <w:sz w:val="16"/>
              </w:rPr>
              <w:lastRenderedPageBreak/>
              <w:t>Dominio</w:t>
            </w:r>
          </w:p>
        </w:tc>
        <w:tc>
          <w:tcPr>
            <w:tcW w:w="2209" w:type="dxa"/>
            <w:shd w:val="clear" w:color="auto" w:fill="1F4E78"/>
          </w:tcPr>
          <w:p w14:paraId="27AAFFA4" w14:textId="77777777" w:rsidR="00084B26" w:rsidRDefault="00000000">
            <w:r>
              <w:rPr>
                <w:b/>
                <w:color w:val="FFFFFF"/>
                <w:sz w:val="16"/>
              </w:rPr>
              <w:t>Resultado predominante</w:t>
            </w:r>
          </w:p>
        </w:tc>
        <w:tc>
          <w:tcPr>
            <w:tcW w:w="2209" w:type="dxa"/>
            <w:shd w:val="clear" w:color="auto" w:fill="1F4E78"/>
          </w:tcPr>
          <w:p w14:paraId="661E03D4" w14:textId="77777777" w:rsidR="00084B26" w:rsidRDefault="00000000">
            <w:r>
              <w:rPr>
                <w:b/>
                <w:color w:val="FFFFFF"/>
                <w:sz w:val="16"/>
              </w:rPr>
              <w:t>Patrón observado</w:t>
            </w:r>
          </w:p>
        </w:tc>
        <w:tc>
          <w:tcPr>
            <w:tcW w:w="2209" w:type="dxa"/>
            <w:shd w:val="clear" w:color="auto" w:fill="1F4E78"/>
          </w:tcPr>
          <w:p w14:paraId="2885C045" w14:textId="77777777" w:rsidR="00084B26" w:rsidRDefault="00000000">
            <w:r>
              <w:rPr>
                <w:b/>
                <w:color w:val="FFFFFF"/>
                <w:sz w:val="16"/>
              </w:rPr>
              <w:t>Implicación</w:t>
            </w:r>
          </w:p>
        </w:tc>
      </w:tr>
      <w:tr w:rsidR="00084B26" w14:paraId="17AF101B" w14:textId="77777777">
        <w:tc>
          <w:tcPr>
            <w:tcW w:w="2209" w:type="dxa"/>
          </w:tcPr>
          <w:p w14:paraId="33B383A0" w14:textId="77777777" w:rsidR="00084B26" w:rsidRDefault="00000000">
            <w:r>
              <w:rPr>
                <w:sz w:val="16"/>
              </w:rPr>
              <w:t>Sitio y contexto</w:t>
            </w:r>
          </w:p>
        </w:tc>
        <w:tc>
          <w:tcPr>
            <w:tcW w:w="2209" w:type="dxa"/>
          </w:tcPr>
          <w:p w14:paraId="08CD6D11" w14:textId="77777777" w:rsidR="00084B26" w:rsidRDefault="00000000">
            <w:r>
              <w:rPr>
                <w:sz w:val="16"/>
              </w:rPr>
              <w:t>Parcial</w:t>
            </w:r>
          </w:p>
        </w:tc>
        <w:tc>
          <w:tcPr>
            <w:tcW w:w="2209" w:type="dxa"/>
          </w:tcPr>
          <w:p w14:paraId="4BDDD3C8" w14:textId="77777777" w:rsidR="00084B26" w:rsidRDefault="00000000">
            <w:r>
              <w:rPr>
                <w:sz w:val="16"/>
              </w:rPr>
              <w:t>Los casos de campo describen el entorno, pero la comparabilidad climática y vial es desigual.</w:t>
            </w:r>
          </w:p>
        </w:tc>
        <w:tc>
          <w:tcPr>
            <w:tcW w:w="2209" w:type="dxa"/>
          </w:tcPr>
          <w:p w14:paraId="181278C0" w14:textId="77777777" w:rsidR="00084B26" w:rsidRDefault="00000000">
            <w:r>
              <w:rPr>
                <w:sz w:val="16"/>
              </w:rPr>
              <w:t>Transferencia condicionada al contexto.</w:t>
            </w:r>
          </w:p>
        </w:tc>
      </w:tr>
      <w:tr w:rsidR="00084B26" w14:paraId="0C83941B" w14:textId="77777777">
        <w:tc>
          <w:tcPr>
            <w:tcW w:w="2209" w:type="dxa"/>
          </w:tcPr>
          <w:p w14:paraId="320991AF" w14:textId="77777777" w:rsidR="00084B26" w:rsidRDefault="00000000">
            <w:r>
              <w:rPr>
                <w:sz w:val="16"/>
              </w:rPr>
              <w:t>Suelo y geometría</w:t>
            </w:r>
          </w:p>
        </w:tc>
        <w:tc>
          <w:tcPr>
            <w:tcW w:w="2209" w:type="dxa"/>
          </w:tcPr>
          <w:p w14:paraId="3426B10E" w14:textId="77777777" w:rsidR="00084B26" w:rsidRDefault="00000000">
            <w:r>
              <w:rPr>
                <w:sz w:val="16"/>
              </w:rPr>
              <w:t>Parcial</w:t>
            </w:r>
          </w:p>
        </w:tc>
        <w:tc>
          <w:tcPr>
            <w:tcW w:w="2209" w:type="dxa"/>
          </w:tcPr>
          <w:p w14:paraId="4B632EB1" w14:textId="77777777" w:rsidR="00084B26" w:rsidRDefault="00000000">
            <w:r>
              <w:rPr>
                <w:sz w:val="16"/>
              </w:rPr>
              <w:t>La caracterización es más completa en estudios geotécnicos que en reportes de revegetación.</w:t>
            </w:r>
          </w:p>
        </w:tc>
        <w:tc>
          <w:tcPr>
            <w:tcW w:w="2209" w:type="dxa"/>
          </w:tcPr>
          <w:p w14:paraId="37031684" w14:textId="77777777" w:rsidR="00084B26" w:rsidRDefault="00000000">
            <w:r>
              <w:rPr>
                <w:sz w:val="16"/>
              </w:rPr>
              <w:t>No extrapolar factores de seguridad sin parámetros locales.</w:t>
            </w:r>
          </w:p>
        </w:tc>
      </w:tr>
      <w:tr w:rsidR="00084B26" w14:paraId="25393289" w14:textId="77777777">
        <w:tc>
          <w:tcPr>
            <w:tcW w:w="2209" w:type="dxa"/>
          </w:tcPr>
          <w:p w14:paraId="2ED59498" w14:textId="77777777" w:rsidR="00084B26" w:rsidRDefault="00000000">
            <w:r>
              <w:rPr>
                <w:sz w:val="16"/>
              </w:rPr>
              <w:t>Lluvia e hidrología</w:t>
            </w:r>
          </w:p>
        </w:tc>
        <w:tc>
          <w:tcPr>
            <w:tcW w:w="2209" w:type="dxa"/>
          </w:tcPr>
          <w:p w14:paraId="52B25B51" w14:textId="77777777" w:rsidR="00084B26" w:rsidRDefault="00000000">
            <w:r>
              <w:rPr>
                <w:sz w:val="16"/>
              </w:rPr>
              <w:t>Parcial–adecuado</w:t>
            </w:r>
          </w:p>
        </w:tc>
        <w:tc>
          <w:tcPr>
            <w:tcW w:w="2209" w:type="dxa"/>
          </w:tcPr>
          <w:p w14:paraId="1F6612F0" w14:textId="77777777" w:rsidR="00084B26" w:rsidRDefault="00000000">
            <w:r>
              <w:rPr>
                <w:sz w:val="16"/>
              </w:rPr>
              <w:t>Ensayos y modelos detallan intensidad o patrón; varios casos operativos carecen de humedad antecedente y rutas de descarga.</w:t>
            </w:r>
          </w:p>
        </w:tc>
        <w:tc>
          <w:tcPr>
            <w:tcW w:w="2209" w:type="dxa"/>
          </w:tcPr>
          <w:p w14:paraId="29F132DE" w14:textId="77777777" w:rsidR="00084B26" w:rsidRDefault="00000000">
            <w:r>
              <w:rPr>
                <w:sz w:val="16"/>
              </w:rPr>
              <w:t>Evaluar escenarios y drenaje además de intensidad.</w:t>
            </w:r>
          </w:p>
        </w:tc>
      </w:tr>
      <w:tr w:rsidR="00084B26" w14:paraId="098B4925" w14:textId="77777777">
        <w:tc>
          <w:tcPr>
            <w:tcW w:w="2209" w:type="dxa"/>
          </w:tcPr>
          <w:p w14:paraId="1E547AFA" w14:textId="77777777" w:rsidR="00084B26" w:rsidRDefault="00000000">
            <w:r>
              <w:rPr>
                <w:sz w:val="16"/>
              </w:rPr>
              <w:t>Plantas y raíces</w:t>
            </w:r>
          </w:p>
        </w:tc>
        <w:tc>
          <w:tcPr>
            <w:tcW w:w="2209" w:type="dxa"/>
          </w:tcPr>
          <w:p w14:paraId="29FE8E0E" w14:textId="77777777" w:rsidR="00084B26" w:rsidRDefault="00000000">
            <w:r>
              <w:rPr>
                <w:sz w:val="16"/>
              </w:rPr>
              <w:t>Parcial</w:t>
            </w:r>
          </w:p>
        </w:tc>
        <w:tc>
          <w:tcPr>
            <w:tcW w:w="2209" w:type="dxa"/>
          </w:tcPr>
          <w:p w14:paraId="259C82A2" w14:textId="77777777" w:rsidR="00084B26" w:rsidRDefault="00000000">
            <w:r>
              <w:rPr>
                <w:sz w:val="16"/>
              </w:rPr>
              <w:t>Se reportan especies y cobertura con mayor frecuencia que arquitectura, profundidad o evolución de raíces.</w:t>
            </w:r>
          </w:p>
        </w:tc>
        <w:tc>
          <w:tcPr>
            <w:tcW w:w="2209" w:type="dxa"/>
          </w:tcPr>
          <w:p w14:paraId="004C48A3" w14:textId="77777777" w:rsidR="00084B26" w:rsidRDefault="00000000">
            <w:r>
              <w:rPr>
                <w:sz w:val="16"/>
              </w:rPr>
              <w:t>Usar rangos conservadores y ensayos regionales.</w:t>
            </w:r>
          </w:p>
        </w:tc>
      </w:tr>
      <w:tr w:rsidR="00084B26" w14:paraId="07E1C340" w14:textId="77777777">
        <w:tc>
          <w:tcPr>
            <w:tcW w:w="2209" w:type="dxa"/>
          </w:tcPr>
          <w:p w14:paraId="3F81BF33" w14:textId="77777777" w:rsidR="00084B26" w:rsidRDefault="00000000">
            <w:r>
              <w:rPr>
                <w:sz w:val="16"/>
              </w:rPr>
              <w:t>Comparador</w:t>
            </w:r>
          </w:p>
        </w:tc>
        <w:tc>
          <w:tcPr>
            <w:tcW w:w="2209" w:type="dxa"/>
          </w:tcPr>
          <w:p w14:paraId="6F90D691" w14:textId="77777777" w:rsidR="00084B26" w:rsidRDefault="00000000">
            <w:r>
              <w:rPr>
                <w:sz w:val="16"/>
              </w:rPr>
              <w:t>Parcial</w:t>
            </w:r>
          </w:p>
        </w:tc>
        <w:tc>
          <w:tcPr>
            <w:tcW w:w="2209" w:type="dxa"/>
          </w:tcPr>
          <w:p w14:paraId="22845B6F" w14:textId="77777777" w:rsidR="00084B26" w:rsidRDefault="00000000">
            <w:r>
              <w:rPr>
                <w:sz w:val="16"/>
              </w:rPr>
              <w:t>Los experimentos suelen incluir suelo desnudo o tratamientos alternos; los casos de obra no siempre tienen control.</w:t>
            </w:r>
          </w:p>
        </w:tc>
        <w:tc>
          <w:tcPr>
            <w:tcW w:w="2209" w:type="dxa"/>
          </w:tcPr>
          <w:p w14:paraId="4AB47462" w14:textId="77777777" w:rsidR="00084B26" w:rsidRDefault="00000000">
            <w:r>
              <w:rPr>
                <w:sz w:val="16"/>
              </w:rPr>
              <w:t>La atribución causal es más fuerte en ensayos controlados.</w:t>
            </w:r>
          </w:p>
        </w:tc>
      </w:tr>
      <w:tr w:rsidR="00084B26" w14:paraId="44B49064" w14:textId="77777777">
        <w:tc>
          <w:tcPr>
            <w:tcW w:w="2209" w:type="dxa"/>
          </w:tcPr>
          <w:p w14:paraId="7B0C1416" w14:textId="77777777" w:rsidR="00084B26" w:rsidRDefault="00000000">
            <w:r>
              <w:rPr>
                <w:sz w:val="16"/>
              </w:rPr>
              <w:t>Métricas</w:t>
            </w:r>
          </w:p>
        </w:tc>
        <w:tc>
          <w:tcPr>
            <w:tcW w:w="2209" w:type="dxa"/>
          </w:tcPr>
          <w:p w14:paraId="196B85C8" w14:textId="77777777" w:rsidR="00084B26" w:rsidRDefault="00000000">
            <w:r>
              <w:rPr>
                <w:sz w:val="16"/>
              </w:rPr>
              <w:t>Adecuado para erosión; parcial para estabilidad</w:t>
            </w:r>
          </w:p>
        </w:tc>
        <w:tc>
          <w:tcPr>
            <w:tcW w:w="2209" w:type="dxa"/>
          </w:tcPr>
          <w:p w14:paraId="4CF811D0" w14:textId="77777777" w:rsidR="00084B26" w:rsidRDefault="00000000">
            <w:r>
              <w:rPr>
                <w:sz w:val="16"/>
              </w:rPr>
              <w:t>Abundan escorrentía, sedimento y cobertura; son menos frecuentes desplazamiento y factor de seguridad.</w:t>
            </w:r>
          </w:p>
        </w:tc>
        <w:tc>
          <w:tcPr>
            <w:tcW w:w="2209" w:type="dxa"/>
          </w:tcPr>
          <w:p w14:paraId="63D02F54" w14:textId="77777777" w:rsidR="00084B26" w:rsidRDefault="00000000">
            <w:r>
              <w:rPr>
                <w:sz w:val="16"/>
              </w:rPr>
              <w:t>No equiparar reducción de erosión con estabilidad profunda.</w:t>
            </w:r>
          </w:p>
        </w:tc>
      </w:tr>
      <w:tr w:rsidR="00084B26" w14:paraId="214BDE0C" w14:textId="77777777">
        <w:tc>
          <w:tcPr>
            <w:tcW w:w="2209" w:type="dxa"/>
          </w:tcPr>
          <w:p w14:paraId="5E14353A" w14:textId="77777777" w:rsidR="00084B26" w:rsidRDefault="00000000">
            <w:r>
              <w:rPr>
                <w:sz w:val="16"/>
              </w:rPr>
              <w:t>Duración</w:t>
            </w:r>
          </w:p>
        </w:tc>
        <w:tc>
          <w:tcPr>
            <w:tcW w:w="2209" w:type="dxa"/>
          </w:tcPr>
          <w:p w14:paraId="484AD74C" w14:textId="77777777" w:rsidR="00084B26" w:rsidRDefault="00000000">
            <w:r>
              <w:rPr>
                <w:sz w:val="16"/>
              </w:rPr>
              <w:t>Parcial</w:t>
            </w:r>
          </w:p>
        </w:tc>
        <w:tc>
          <w:tcPr>
            <w:tcW w:w="2209" w:type="dxa"/>
          </w:tcPr>
          <w:p w14:paraId="7A3267A8" w14:textId="77777777" w:rsidR="00084B26" w:rsidRDefault="00000000">
            <w:r>
              <w:rPr>
                <w:sz w:val="16"/>
              </w:rPr>
              <w:t>Predominan periodos cortos o de pocos años frente a la vida útil vial.</w:t>
            </w:r>
          </w:p>
        </w:tc>
        <w:tc>
          <w:tcPr>
            <w:tcW w:w="2209" w:type="dxa"/>
          </w:tcPr>
          <w:p w14:paraId="7ABF8B31" w14:textId="77777777" w:rsidR="00084B26" w:rsidRDefault="00000000">
            <w:r>
              <w:rPr>
                <w:sz w:val="16"/>
              </w:rPr>
              <w:t>La persistencia y el envejecimiento siguen inciertos.</w:t>
            </w:r>
          </w:p>
        </w:tc>
      </w:tr>
      <w:tr w:rsidR="00084B26" w14:paraId="62522581" w14:textId="77777777">
        <w:tc>
          <w:tcPr>
            <w:tcW w:w="2209" w:type="dxa"/>
          </w:tcPr>
          <w:p w14:paraId="769246F3" w14:textId="77777777" w:rsidR="00084B26" w:rsidRDefault="00000000">
            <w:r>
              <w:rPr>
                <w:sz w:val="16"/>
              </w:rPr>
              <w:t>Mantenimiento</w:t>
            </w:r>
          </w:p>
        </w:tc>
        <w:tc>
          <w:tcPr>
            <w:tcW w:w="2209" w:type="dxa"/>
          </w:tcPr>
          <w:p w14:paraId="64B8DB40" w14:textId="77777777" w:rsidR="00084B26" w:rsidRDefault="00000000">
            <w:r>
              <w:rPr>
                <w:sz w:val="16"/>
              </w:rPr>
              <w:t>Ausente–parcial</w:t>
            </w:r>
          </w:p>
        </w:tc>
        <w:tc>
          <w:tcPr>
            <w:tcW w:w="2209" w:type="dxa"/>
          </w:tcPr>
          <w:p w14:paraId="22C01393" w14:textId="77777777" w:rsidR="00084B26" w:rsidRDefault="00000000">
            <w:r>
              <w:rPr>
                <w:sz w:val="16"/>
              </w:rPr>
              <w:t>Pocas fuentes cuantifican inspección, reposición, poda, limpieza y reparaciones.</w:t>
            </w:r>
          </w:p>
        </w:tc>
        <w:tc>
          <w:tcPr>
            <w:tcW w:w="2209" w:type="dxa"/>
          </w:tcPr>
          <w:p w14:paraId="3DBBA267" w14:textId="77777777" w:rsidR="00084B26" w:rsidRDefault="00000000">
            <w:r>
              <w:rPr>
                <w:sz w:val="16"/>
              </w:rPr>
              <w:t>Incorporar mantenimiento como requisito de diseño.</w:t>
            </w:r>
          </w:p>
        </w:tc>
      </w:tr>
      <w:tr w:rsidR="00084B26" w14:paraId="6A22E85F" w14:textId="77777777">
        <w:tc>
          <w:tcPr>
            <w:tcW w:w="2209" w:type="dxa"/>
          </w:tcPr>
          <w:p w14:paraId="0475A8C6" w14:textId="77777777" w:rsidR="00084B26" w:rsidRDefault="00000000">
            <w:r>
              <w:rPr>
                <w:sz w:val="16"/>
              </w:rPr>
              <w:t>Incertidumbre</w:t>
            </w:r>
          </w:p>
        </w:tc>
        <w:tc>
          <w:tcPr>
            <w:tcW w:w="2209" w:type="dxa"/>
          </w:tcPr>
          <w:p w14:paraId="30D85E6A" w14:textId="77777777" w:rsidR="00084B26" w:rsidRDefault="00000000">
            <w:r>
              <w:rPr>
                <w:sz w:val="16"/>
              </w:rPr>
              <w:t>Parcial</w:t>
            </w:r>
          </w:p>
        </w:tc>
        <w:tc>
          <w:tcPr>
            <w:tcW w:w="2209" w:type="dxa"/>
          </w:tcPr>
          <w:p w14:paraId="77AAE1F8" w14:textId="77777777" w:rsidR="00084B26" w:rsidRDefault="00000000">
            <w:r>
              <w:rPr>
                <w:sz w:val="16"/>
              </w:rPr>
              <w:t>Los modelos probabilistas la tratan explícitamente; muchos casos presentan resultados puntuales.</w:t>
            </w:r>
          </w:p>
        </w:tc>
        <w:tc>
          <w:tcPr>
            <w:tcW w:w="2209" w:type="dxa"/>
          </w:tcPr>
          <w:p w14:paraId="71ABE2A6" w14:textId="77777777" w:rsidR="00084B26" w:rsidRDefault="00000000">
            <w:r>
              <w:rPr>
                <w:sz w:val="16"/>
              </w:rPr>
              <w:t>Evitar parámetros únicos sin sensibilidad.</w:t>
            </w:r>
          </w:p>
        </w:tc>
      </w:tr>
      <w:tr w:rsidR="00084B26" w14:paraId="2C06EF5E" w14:textId="77777777">
        <w:tc>
          <w:tcPr>
            <w:tcW w:w="2209" w:type="dxa"/>
          </w:tcPr>
          <w:p w14:paraId="58397E45" w14:textId="77777777" w:rsidR="00084B26" w:rsidRDefault="00000000">
            <w:r>
              <w:rPr>
                <w:sz w:val="16"/>
              </w:rPr>
              <w:t>Transferibilidad</w:t>
            </w:r>
          </w:p>
        </w:tc>
        <w:tc>
          <w:tcPr>
            <w:tcW w:w="2209" w:type="dxa"/>
          </w:tcPr>
          <w:p w14:paraId="30ADFD47" w14:textId="77777777" w:rsidR="00084B26" w:rsidRDefault="00000000">
            <w:r>
              <w:rPr>
                <w:sz w:val="16"/>
              </w:rPr>
              <w:t>Parcial</w:t>
            </w:r>
          </w:p>
        </w:tc>
        <w:tc>
          <w:tcPr>
            <w:tcW w:w="2209" w:type="dxa"/>
          </w:tcPr>
          <w:p w14:paraId="1DDA48F6" w14:textId="77777777" w:rsidR="00084B26" w:rsidRDefault="00000000">
            <w:r>
              <w:rPr>
                <w:sz w:val="16"/>
              </w:rPr>
              <w:t>La evidencia cubre varios climas, pero son escasos los estudios a escala de corredor y en América Latina.</w:t>
            </w:r>
          </w:p>
        </w:tc>
        <w:tc>
          <w:tcPr>
            <w:tcW w:w="2209" w:type="dxa"/>
          </w:tcPr>
          <w:p w14:paraId="5A2DD9BC" w14:textId="77777777" w:rsidR="00084B26" w:rsidRDefault="00000000">
            <w:r>
              <w:rPr>
                <w:sz w:val="16"/>
              </w:rPr>
              <w:t>Validar especies, suministro y capacidad institucional local.</w:t>
            </w:r>
          </w:p>
        </w:tc>
      </w:tr>
    </w:tbl>
    <w:p w14:paraId="2119BC79" w14:textId="77777777" w:rsidR="00084B26" w:rsidRDefault="00000000">
      <w:pPr>
        <w:jc w:val="center"/>
      </w:pPr>
      <w:r>
        <w:rPr>
          <w:rFonts w:ascii="Arial" w:hAnsi="Arial"/>
          <w:i/>
          <w:sz w:val="16"/>
        </w:rPr>
        <w:t>Nota: las categorías resumen patrones de reporte del corpus y no constituyen puntuaciones retrospectivas por estudio.</w:t>
      </w:r>
    </w:p>
    <w:p w14:paraId="736020D5" w14:textId="77777777" w:rsidR="00084B26" w:rsidRDefault="00000000">
      <w:pPr>
        <w:keepNext/>
        <w:spacing w:before="120" w:after="60" w:line="240" w:lineRule="auto"/>
      </w:pPr>
      <w:r>
        <w:rPr>
          <w:b/>
          <w:sz w:val="24"/>
        </w:rPr>
        <w:lastRenderedPageBreak/>
        <w:t>3.1 MECANISMOS DE FALLA BAJO LLUVIAS EXTREMAS</w:t>
      </w:r>
    </w:p>
    <w:p w14:paraId="49D87208" w14:textId="77777777" w:rsidR="00084B26" w:rsidRDefault="00000000">
      <w:pPr>
        <w:spacing w:after="60" w:line="240" w:lineRule="auto"/>
        <w:ind w:firstLine="288"/>
        <w:jc w:val="both"/>
      </w:pPr>
      <w:r>
        <w:t>La lluvia extrema afecta al talud mediante rutas acopladas. En la superficie, el impacto de gotas rompe agregados y forma sellado; el flujo en lámina evoluciona hacia surcos y cárcavas cuando encuentra microdepresiones o descargas de cunetas. En el interior, la infiltración incrementa el contenido de agua, reduce succión y puede generar presión positiva sobre contactos menos permeables. La pérdida de suelo en el pie o en una berma modifica la geometría y aumenta esfuerzos cortantes. Por ello, la erosión no es solo un problema cosmético: puede eliminar el suelo que sostiene las raíces, dejar expuestos anclajes y crear una muesca que favorece una falla más amplia. La bioingeniería debe interrumpir esta cadena antes de que la degradación superficial evolucione hacia inestabilidad geométrica.</w:t>
      </w:r>
    </w:p>
    <w:p w14:paraId="0F9B710E" w14:textId="77777777" w:rsidR="00084B26" w:rsidRDefault="00000000">
      <w:pPr>
        <w:spacing w:after="60" w:line="240" w:lineRule="auto"/>
        <w:ind w:firstLine="288"/>
        <w:jc w:val="both"/>
      </w:pPr>
      <w:r>
        <w:t>La condición antecedente controla el margen disponible. Una cubierta vegetal puede inducir succión durante periodos secos, pero ese almacenamiento se agota con lluvias sucesivas. En tormentas largas, la contribución hidrológica de la transpiración se vuelve pequeña frente al volumen infiltrado y la estabilidad depende de la conductividad del suelo, la continuidad de drenes y la ruta de descarga. La presencia de raíces no impide la saturación; en algunos casos, la macroporosidad facilita infiltración profunda. La consecuencia de diseño es que la succión generada por vegetación debe considerarse un beneficio variable y no un valor permanente. Para eventos de comprobación extremos, el sistema necesita una ruta de drenaje que funcione aun cuando la contribución evapotranspirativa sea mínima.</w:t>
      </w:r>
    </w:p>
    <w:p w14:paraId="594CD8E3" w14:textId="77777777" w:rsidR="00084B26" w:rsidRDefault="00000000">
      <w:pPr>
        <w:spacing w:after="60" w:line="240" w:lineRule="auto"/>
        <w:ind w:firstLine="288"/>
        <w:jc w:val="both"/>
      </w:pPr>
      <w:r>
        <w:t>La profundidad de la falla establece un límite mecánico. Si la superficie potencial se sitúa dentro de la zona de raíces, la resistencia a tracción y el anclaje pueden incrementar la estabilidad. Si la superficie pasa por debajo, el refuerzo radicular actúa sobre una capa superficial que puede deslizar como bloque o aportar sobrecarga sin cruzar el plano de corte. Las raíces gruesas y profundas son útiles cuando alcanzan material competente, pero requieren espacio, tiempo y especies compatibles con la seguridad vial. Esta relación explica por qué la evidencia es más consistente para erosión y deslizamientos someros que para movimientos profundos. La clasificación inicial del mecanismo de falla es, por tanto, una condición previa a la selección de la técnica.</w:t>
      </w:r>
    </w:p>
    <w:p w14:paraId="74295C25" w14:textId="77777777" w:rsidR="00084B26" w:rsidRDefault="00000000">
      <w:pPr>
        <w:keepNext/>
        <w:spacing w:before="120" w:after="60" w:line="240" w:lineRule="auto"/>
      </w:pPr>
      <w:r>
        <w:rPr>
          <w:b/>
          <w:sz w:val="24"/>
        </w:rPr>
        <w:t>3.2 FAMILIAS DE SOLUCIONES Y FUNCIÓN PRINCIPAL</w:t>
      </w:r>
    </w:p>
    <w:p w14:paraId="71C0F5EB" w14:textId="77777777" w:rsidR="00084B26" w:rsidRDefault="00000000">
      <w:pPr>
        <w:spacing w:after="60" w:line="240" w:lineRule="auto"/>
        <w:ind w:firstLine="288"/>
        <w:jc w:val="both"/>
      </w:pPr>
      <w:r>
        <w:t>Las coberturas herbáceas y la hidrosiembra son las medidas más difundidas para proteger superficies grandes. Su ventaja es la rapidez relativa de aplicación y la capacidad de desarrollar una red densa de raíces finas en los primeros decímetros. La parte aérea intercepta lluvia y aumenta rugosidad, mientras que la rizosfera mejora la resistencia a desprendimiento. Su desempeño depende de que la mezcla sea compatible con el clima, que el sustrato conserve humedad suficiente y que exista contacto efectivo entre semilla y suelo. Una hidrosiembra aplicada sobre material estéril, compactado o sin control de escorrentía puede germinar de forma irregular y dejar franjas desnudas que concentran flujo. En carreteras tropicales, el crecimiento rápido es ventajoso, pero también puede requerir corte frecuente para mantener visibilidad y evitar obstrucción de drenajes.</w:t>
      </w:r>
    </w:p>
    <w:p w14:paraId="12A72997" w14:textId="77777777" w:rsidR="00084B26" w:rsidRDefault="00000000">
      <w:pPr>
        <w:spacing w:after="60" w:line="240" w:lineRule="auto"/>
        <w:ind w:firstLine="288"/>
        <w:jc w:val="both"/>
      </w:pPr>
      <w:r>
        <w:rPr>
          <w:rFonts w:ascii="Arial" w:hAnsi="Arial"/>
        </w:rPr>
        <w:t>Las mantas de fibras naturales, redes de coco, yute, paja u otros materiales biodegradables cumplen una función puente durante el establecimiento. Protegen la superficie desde la instalación, reducen velocidad, retienen partículas y favorecen humedad para germinación. Los ensayos de campo en taludes de carretera muestran reducciones de escorrentía y pérdida de suelo cuando las mantas permanecen adheridas y correctamente ancladas (Luo et al., 2013; Álvarez-Mozos et al., 2014). El beneficio se pierde si el agua circula por debajo, si las solapas se orientan contra el flujo o si la descarga concentrada excede la capacidad de la manta. Por ello, el diseño debe incluir preparación de superficie, zanjas de coronación para empotramiento, patrón de anclajes, tratamiento de juntas y disipación en puntos de descarga.</w:t>
      </w:r>
    </w:p>
    <w:p w14:paraId="31F34B04" w14:textId="77777777" w:rsidR="00084B26" w:rsidRDefault="00000000">
      <w:pPr>
        <w:spacing w:after="60" w:line="240" w:lineRule="auto"/>
        <w:ind w:firstLine="288"/>
        <w:jc w:val="both"/>
      </w:pPr>
      <w:r>
        <w:lastRenderedPageBreak/>
        <w:t xml:space="preserve">Las </w:t>
      </w:r>
      <w:proofErr w:type="gramStart"/>
      <w:r>
        <w:t>estacas vivas y los postes vivos</w:t>
      </w:r>
      <w:proofErr w:type="gramEnd"/>
      <w:r>
        <w:t xml:space="preserve"> introducen elementos leñosos que atraviesan la zona superficial y pueden rebrotar. Antes de enraizar, la pieza aporta fricción y resistencia estructural; después, la función se transfiere gradualmente al sistema radicular. Las fajinas se disponen en zanjas aproximadamente paralelas a las curvas de nivel y crean barreras permeables que reducen longitud de pendiente, capturan sedimento y redistribuyen escorrentía. Las capas de ramas y empalizadas combinan elementos vivos con relleno compactado y pueden reconstruir pequeñas fallas o terrazas. Su éxito depende de especie, época de corte, almacenamiento, humedad y profundidad de inserción. Material vegetal desecado o instalado fuera de temporada puede conservar apariencia de obra terminada sin desarrollar la función biológica prevista.</w:t>
      </w:r>
    </w:p>
    <w:p w14:paraId="5D91A507" w14:textId="77777777" w:rsidR="00084B26" w:rsidRDefault="00000000">
      <w:pPr>
        <w:spacing w:after="60" w:line="240" w:lineRule="auto"/>
        <w:ind w:firstLine="288"/>
        <w:jc w:val="both"/>
      </w:pPr>
      <w:r>
        <w:t>Los cribados vivos, muros de madera vegetados y estructuras de pie son apropiados cuando se requiere recuperar geometría, sostener relleno o reducir pendiente local. En estos sistemas, la estructura inerte proporciona estabilidad inmediata y la vegetación mejora la integración y el refuerzo superficial con el tiempo. No deben confundirse con un muro de contención diseñado para grandes empujes; su uso es más coherente en deslizamientos someros, erosión del pie y reconstrucciones de altura limitada. La durabilidad de madera, conectores y relleno debe compararse con el tiempo de establecimiento. La pérdida prematura de un elemento antes de que las raíces alcancen resistencia suficiente constituye un modo de falla temporal que requiere inspección.</w:t>
      </w:r>
    </w:p>
    <w:p w14:paraId="3774EFCF" w14:textId="77777777" w:rsidR="00084B26" w:rsidRDefault="00000000">
      <w:pPr>
        <w:spacing w:after="60" w:line="240" w:lineRule="auto"/>
        <w:ind w:firstLine="288"/>
        <w:jc w:val="both"/>
      </w:pPr>
      <w:r>
        <w:rPr>
          <w:rFonts w:ascii="Arial" w:hAnsi="Arial"/>
        </w:rPr>
        <w:t>Las plantaciones de vetiver se emplean como barreras densas sobre el contorno. Sus raíces finas y profundas pueden mejorar la resistencia del suelo superficial y reducir la velocidad de escorrentía. Los ensayos mecánicos con plantas jóvenes muestran que la contribución depende de desarrollo radicular y geometría del sistema (Mickovski y van Beek, 2009). El vetiver no es, sin embargo, una solución independiente para deslizamientos profundos, socavación activa del pie o descarga de alcantarillas. Su mejor uso se encuentra en franjas que interceptan flujo difuso, estabilizan pequeños surcos y complementan drenaje y protección superficial. Debe verificarse además la compatibilidad ecológica y normativa de la especie o cultivar en cada región.</w:t>
      </w:r>
    </w:p>
    <w:p w14:paraId="1C20B21E" w14:textId="77777777" w:rsidR="00084B26" w:rsidRDefault="00000000">
      <w:pPr>
        <w:keepNext/>
        <w:spacing w:before="120" w:after="60" w:line="240" w:lineRule="auto"/>
      </w:pPr>
      <w:r>
        <w:rPr>
          <w:b/>
          <w:sz w:val="24"/>
        </w:rPr>
        <w:t>3.3 DESEMPEÑO MECÁNICO</w:t>
      </w:r>
    </w:p>
    <w:p w14:paraId="2D5DDB2D" w14:textId="77777777" w:rsidR="00084B26" w:rsidRDefault="00000000">
      <w:pPr>
        <w:spacing w:after="60" w:line="240" w:lineRule="auto"/>
        <w:ind w:firstLine="288"/>
        <w:jc w:val="both"/>
      </w:pPr>
      <w:r>
        <w:t>El refuerzo radicular se moviliza cuando el suelo se deforma y las raíces cruzan o se orientan respecto de la zona de corte. La resistencia adicional no depende solo de la resistencia individual de una raíz; también intervienen el arrancamiento, la adherencia, la rotura progresiva y la distribución de diámetros. Los modelos simplificados que suman resistencias máximas pueden sobreestimar el aporte porque las raíces no alcanzan simultáneamente su carga pico. Los enfoques de haces de fibras y arquitectura tridimensional representan mejor la rotura progresiva, pero requieren parámetros que rara vez se miden en proyectos viales. En la práctica, la contribución mecánica debe manejarse mediante rangos y análisis de sensibilidad, no como una cohesión única sin incertidumbre.</w:t>
      </w:r>
    </w:p>
    <w:p w14:paraId="04AE229F" w14:textId="77777777" w:rsidR="00084B26" w:rsidRDefault="00000000">
      <w:pPr>
        <w:spacing w:after="60" w:line="240" w:lineRule="auto"/>
        <w:ind w:firstLine="288"/>
        <w:jc w:val="both"/>
      </w:pPr>
      <w:r>
        <w:rPr>
          <w:rFonts w:ascii="Arial" w:hAnsi="Arial"/>
        </w:rPr>
        <w:t>Los casos de América Central demuestran que las técnicas vivas pueden adaptarse a contextos tropicales cuando la selección se basa en capacidad de rebrote, disponibilidad local y función requerida. En Nicaragua, la evaluación de idoneidad mostró que el conocimiento local y la selección de especies son tan importantes como la geometría de la obra (Petrone y Preti, 2008). En áreas húmedas tropicales, las medidas de bioingeniería contribuyeron a mitigación y restauración, pero el desempeño dependió de la interacción entre técnica, material vegetal y régimen hídrico (Petrone y Preti, 2010). Estos estudios respaldan el uso de especies regionales, aunque también muestran que la transferencia exige ensayos de propagación y supervivencia antes de especificar una técnica a gran escala.</w:t>
      </w:r>
    </w:p>
    <w:p w14:paraId="2772D600" w14:textId="77777777" w:rsidR="00084B26" w:rsidRDefault="00000000">
      <w:pPr>
        <w:spacing w:after="60" w:line="240" w:lineRule="auto"/>
        <w:ind w:firstLine="288"/>
        <w:jc w:val="both"/>
      </w:pPr>
      <w:r>
        <w:rPr>
          <w:rFonts w:ascii="Arial" w:hAnsi="Arial"/>
        </w:rPr>
        <w:t xml:space="preserve">La experiencia con retama española ilustra la necesidad de vincular propiedades de raíces con diseño. El refuerzo medido varía con diámetro, densidad y profundidad, y la contribución disminuye cuando la superficie de falla se aleja de la zona colonizada (Preti y Giadrossich, 2009). De forma análoga, el monitoreo en Nepal evidencia que una intervención de bioingeniería debe evaluarse durante la fase de establecimiento y no únicamente en la recepción de obra (Lammeranner et al., </w:t>
      </w:r>
      <w:r>
        <w:rPr>
          <w:rFonts w:ascii="Arial" w:hAnsi="Arial"/>
        </w:rPr>
        <w:lastRenderedPageBreak/>
        <w:t>2005). La resistencia inicial de ramas, estacas y elementos de madera puede ser significativa, pero la confiabilidad a mediano plazo depende de supervivencia, rebrote y continuidad del drenaje.</w:t>
      </w:r>
    </w:p>
    <w:p w14:paraId="7B88863A" w14:textId="77777777" w:rsidR="00084B26" w:rsidRDefault="00000000">
      <w:pPr>
        <w:spacing w:after="60" w:line="240" w:lineRule="auto"/>
        <w:ind w:firstLine="288"/>
        <w:jc w:val="both"/>
      </w:pPr>
      <w:r>
        <w:rPr>
          <w:rFonts w:ascii="Arial" w:hAnsi="Arial"/>
        </w:rPr>
        <w:t>Los modelos físicos aportan evidencia sobre mecanismos difíciles de aislar en campo. En ensayos con postes vivos, la transpiración preservó succión antes de la lluvia y modificó la respuesta transitoria, mientras que la pieza y sus raíces aportaron refuerzo (Ng et al., 2017). Los experimentos en centrífuga con plantas vivas mostraron que la escala radicular y la distribución espacial influyen en la respuesta, y que la extrapolación requiere similitud geométrica y mecánica cuidadosa (Liang et al., 2017). Estas investigaciones confirman que el efecto biológico es multifuncional, pero también advierten que una planta de laboratorio no reproduce por completo la heterogeneidad, degradación y mantenimiento de un talud vial.</w:t>
      </w:r>
    </w:p>
    <w:p w14:paraId="3F92632B" w14:textId="77777777" w:rsidR="00084B26" w:rsidRDefault="00000000">
      <w:pPr>
        <w:spacing w:after="60" w:line="240" w:lineRule="auto"/>
        <w:ind w:firstLine="288"/>
        <w:jc w:val="both"/>
      </w:pPr>
      <w:r>
        <w:t>En términos de diseño, la evidencia permite establecer un orden de confiabilidad. La vegetación es altamente confiable para incrementar resistencia a erosión superficial cuando existe cobertura continua; su confiabilidad es intermedia para deslizamientos someros si las raíces cruzan la superficie de falla y el régimen de humedad está controlado; y es baja como única medida frente a fallas profundas o movimientos controlados por estratos, rellenos saturados o socavación intensa. Esta gradación no reduce el valor de la bioingeniería: delimita el problema que puede resolver y orienta la necesidad de combinarla con drenaje, reperfilado, bermas, anclajes o estructuras de pie.</w:t>
      </w:r>
    </w:p>
    <w:p w14:paraId="6DF34B73" w14:textId="77777777" w:rsidR="00084B26" w:rsidRDefault="00000000">
      <w:pPr>
        <w:keepNext/>
        <w:spacing w:before="120" w:after="60" w:line="240" w:lineRule="auto"/>
      </w:pPr>
      <w:r>
        <w:rPr>
          <w:b/>
          <w:sz w:val="24"/>
        </w:rPr>
        <w:t>3.4 DESEMPEÑO HIDROLÓGICO Y CONTROL DE EROSIÓN</w:t>
      </w:r>
    </w:p>
    <w:p w14:paraId="29A26B06" w14:textId="77777777" w:rsidR="00084B26" w:rsidRDefault="00000000">
      <w:pPr>
        <w:spacing w:after="60" w:line="240" w:lineRule="auto"/>
        <w:ind w:firstLine="288"/>
        <w:jc w:val="both"/>
      </w:pPr>
      <w:r>
        <w:rPr>
          <w:rFonts w:ascii="Arial" w:hAnsi="Arial"/>
        </w:rPr>
        <w:t>Las pruebas de lluvia simulada en taludes carreteros muestran que la cobertura vegetal reduce el impacto de gotas y la exportación de sedimento, pero que el resultado depende de densidad, patrón de cobertura y concentración del flujo. En el área del embalse de las Tres Gargantas, la vegetación disminuyó escorrentía, producción de sedimento y mejoró resistencia al corte respecto de superficies desnudas (Liu et al., 2014). Cuando se añadió flujo concentrado proveniente de la carretera, la protección disminuyó y la disposición espacial de la cobertura se volvió crítica (Liu et al., 2016). Esto indica que aumentar el porcentaje de vegetación no compensa una descarga hidráulica mal resuelta. Las cunetas, bajantes y alcantarillas deben descargar en disipadores o zonas protegidas, no directamente sobre una superficie revegetada.</w:t>
      </w:r>
    </w:p>
    <w:p w14:paraId="56F07C8D" w14:textId="77777777" w:rsidR="00084B26" w:rsidRDefault="00000000">
      <w:pPr>
        <w:spacing w:after="60" w:line="240" w:lineRule="auto"/>
        <w:ind w:firstLine="288"/>
        <w:jc w:val="both"/>
      </w:pPr>
      <w:r>
        <w:rPr>
          <w:rFonts w:ascii="Arial" w:hAnsi="Arial"/>
        </w:rPr>
        <w:t>Las mantas y geotextiles biodegradables actúan sobre la fase de mayor vulnerabilidad. En el estudio de Beijing, diferentes coberturas modificaron escorrentía y erosión en taludes de carretera (Luo et al., 2013). La comparación de geotextiles en pendientes pronunciadas confirmó que la eficacia depende de material, contacto con el suelo y condiciones de lluvia (Álvarez-Mozos et al., 2014). El mecanismo no consiste únicamente en “cubrir” el terreno: la manta debe mantener rugosidad, interceptar partículas y evitar que se forme una interfaz de flujo bajo el material. Una instalación con bolsas de aire, anclajes insuficientes o borde superior expuesto puede aumentar daños al canalizar el agua.</w:t>
      </w:r>
    </w:p>
    <w:p w14:paraId="62E70FFA" w14:textId="77777777" w:rsidR="00084B26" w:rsidRDefault="00000000">
      <w:pPr>
        <w:spacing w:after="60" w:line="240" w:lineRule="auto"/>
        <w:ind w:firstLine="288"/>
        <w:jc w:val="both"/>
      </w:pPr>
      <w:r>
        <w:rPr>
          <w:rFonts w:ascii="Arial" w:hAnsi="Arial"/>
        </w:rPr>
        <w:t>El monitoreo de un talud instrumentado cubierto con arbustos y pasto de raíces profundas mostró que la vegetación modifica humedad y succión de manera espacial y temporal (Rahardjo et al., 2014). La recuperación de succión durante periodos secos ofrece almacenamiento antes de la siguiente tormenta, pero el beneficio es sensible a estación, densidad, profundidad radicular y demanda atmosférica. En climas con lluvias casi continuas, la ventana para esa recuperación puede ser pequeña. En consecuencia, el diseño hidrológico debe evaluar series de eventos y humedad antecedente, no solo una tormenta aislada precedida por suelo seco.</w:t>
      </w:r>
    </w:p>
    <w:p w14:paraId="555CD318" w14:textId="7654C766" w:rsidR="00084B26" w:rsidRDefault="00000000">
      <w:pPr>
        <w:spacing w:after="60" w:line="240" w:lineRule="auto"/>
        <w:ind w:firstLine="288"/>
        <w:jc w:val="both"/>
      </w:pPr>
      <w:r>
        <w:t xml:space="preserve">La vegetación también altera la distribución de infiltración. Una cobertura bien establecida reduce sellado superficial y puede aumentar infiltración, lo que disminuye </w:t>
      </w:r>
      <w:r w:rsidR="009934C9">
        <w:t>escorrentía;</w:t>
      </w:r>
      <w:r>
        <w:t xml:space="preserve"> pero no necesariamente mejora estabilidad si el agua queda atrapada sobre un estrato de baja permeabilidad. Esta dualidad obliga a separar el objetivo de control de erosión del objetivo de control de presión intersticial. En un talud de relleno con drenaje interno deficiente, favorecer infiltración sin proporcionar salida puede trasladar el problema desde la superficie hacia el interior. Los sistemas más robustos combinan cobertura con drenes de coronación, subdrenes o capas drenantes, según la geometría y el perfil estratigráfico.</w:t>
      </w:r>
    </w:p>
    <w:p w14:paraId="651B216C" w14:textId="77777777" w:rsidR="00084B26" w:rsidRDefault="00000000">
      <w:pPr>
        <w:spacing w:after="60" w:line="240" w:lineRule="auto"/>
        <w:ind w:firstLine="288"/>
        <w:jc w:val="both"/>
      </w:pPr>
      <w:r>
        <w:rPr>
          <w:rFonts w:ascii="Arial" w:hAnsi="Arial"/>
        </w:rPr>
        <w:lastRenderedPageBreak/>
        <w:t>TABLA 3</w:t>
      </w:r>
    </w:p>
    <w:p w14:paraId="5CDE270A" w14:textId="77777777" w:rsidR="00084B26" w:rsidRDefault="00000000">
      <w:pPr>
        <w:spacing w:after="60" w:line="240" w:lineRule="auto"/>
        <w:ind w:firstLine="288"/>
        <w:jc w:val="both"/>
      </w:pPr>
      <w:r>
        <w:rPr>
          <w:rFonts w:ascii="Arial" w:hAnsi="Arial"/>
        </w:rPr>
        <w:t>SÍNTESIS DE EVIDENCIA REPRESENTATIVA SOBRE DESEMPEÑO Y CONDICIONES DE APLICACIÓN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942"/>
        <w:gridCol w:w="2944"/>
        <w:gridCol w:w="2942"/>
      </w:tblGrid>
      <w:tr w:rsidR="00084B26" w14:paraId="3E5B1391" w14:textId="77777777">
        <w:trPr>
          <w:tblHeader/>
          <w:jc w:val="center"/>
        </w:trPr>
        <w:tc>
          <w:tcPr>
            <w:tcW w:w="2946" w:type="dxa"/>
            <w:shd w:val="clear" w:color="auto" w:fill="1F4E78"/>
            <w:vAlign w:val="center"/>
          </w:tcPr>
          <w:p w14:paraId="518C9FAC" w14:textId="77777777" w:rsidR="00084B26" w:rsidRDefault="00000000">
            <w:pPr>
              <w:spacing w:after="0" w:line="240" w:lineRule="auto"/>
              <w:jc w:val="center"/>
            </w:pPr>
            <w:r>
              <w:rPr>
                <w:b/>
                <w:color w:val="FFFFFF"/>
                <w:sz w:val="16"/>
              </w:rPr>
              <w:t>Fuente y contexto</w:t>
            </w:r>
          </w:p>
        </w:tc>
        <w:tc>
          <w:tcPr>
            <w:tcW w:w="2946" w:type="dxa"/>
            <w:shd w:val="clear" w:color="auto" w:fill="1F4E78"/>
            <w:vAlign w:val="center"/>
          </w:tcPr>
          <w:p w14:paraId="1AD658B0" w14:textId="77777777" w:rsidR="00084B26" w:rsidRDefault="00000000">
            <w:pPr>
              <w:spacing w:after="0" w:line="240" w:lineRule="auto"/>
              <w:jc w:val="center"/>
            </w:pPr>
            <w:r>
              <w:rPr>
                <w:b/>
                <w:color w:val="FFFFFF"/>
                <w:sz w:val="16"/>
              </w:rPr>
              <w:t>Intervención y evaluación</w:t>
            </w:r>
          </w:p>
        </w:tc>
        <w:tc>
          <w:tcPr>
            <w:tcW w:w="2946" w:type="dxa"/>
            <w:shd w:val="clear" w:color="auto" w:fill="1F4E78"/>
            <w:vAlign w:val="center"/>
          </w:tcPr>
          <w:p w14:paraId="2C150B31" w14:textId="77777777" w:rsidR="00084B26" w:rsidRDefault="00000000">
            <w:pPr>
              <w:spacing w:after="0" w:line="240" w:lineRule="auto"/>
              <w:jc w:val="center"/>
            </w:pPr>
            <w:r>
              <w:rPr>
                <w:b/>
                <w:color w:val="FFFFFF"/>
                <w:sz w:val="16"/>
              </w:rPr>
              <w:t>Resultado útil para diseño vial</w:t>
            </w:r>
          </w:p>
        </w:tc>
      </w:tr>
      <w:tr w:rsidR="00084B26" w14:paraId="7412956A" w14:textId="77777777">
        <w:trPr>
          <w:jc w:val="center"/>
        </w:trPr>
        <w:tc>
          <w:tcPr>
            <w:tcW w:w="2946" w:type="dxa"/>
            <w:vAlign w:val="center"/>
          </w:tcPr>
          <w:p w14:paraId="470A876E" w14:textId="77777777" w:rsidR="00084B26" w:rsidRDefault="00000000">
            <w:r>
              <w:rPr>
                <w:sz w:val="16"/>
              </w:rPr>
              <w:t>Petrone y Preti (2008), Nicaragua tropical</w:t>
            </w:r>
          </w:p>
        </w:tc>
        <w:tc>
          <w:tcPr>
            <w:tcW w:w="2946" w:type="dxa"/>
            <w:vAlign w:val="center"/>
          </w:tcPr>
          <w:p w14:paraId="79FA540F" w14:textId="77777777" w:rsidR="00084B26" w:rsidRDefault="00000000">
            <w:pPr>
              <w:spacing w:after="0" w:line="240" w:lineRule="auto"/>
            </w:pPr>
            <w:r>
              <w:rPr>
                <w:sz w:val="16"/>
              </w:rPr>
              <w:t>Selección y aplicación de técnicas de bioingeniería en laderas</w:t>
            </w:r>
          </w:p>
        </w:tc>
        <w:tc>
          <w:tcPr>
            <w:tcW w:w="2946" w:type="dxa"/>
            <w:vAlign w:val="center"/>
          </w:tcPr>
          <w:p w14:paraId="1377C022" w14:textId="77777777" w:rsidR="00084B26" w:rsidRDefault="00000000">
            <w:pPr>
              <w:spacing w:after="0" w:line="240" w:lineRule="auto"/>
            </w:pPr>
            <w:r>
              <w:rPr>
                <w:sz w:val="16"/>
              </w:rPr>
              <w:t>La idoneidad depende de especies locales, rebrote, disponibilidad y correspondencia entre técnica y sitio.</w:t>
            </w:r>
          </w:p>
        </w:tc>
      </w:tr>
      <w:tr w:rsidR="00084B26" w14:paraId="4B3345CA" w14:textId="77777777">
        <w:trPr>
          <w:jc w:val="center"/>
        </w:trPr>
        <w:tc>
          <w:tcPr>
            <w:tcW w:w="2946" w:type="dxa"/>
            <w:vAlign w:val="center"/>
          </w:tcPr>
          <w:p w14:paraId="07FB0523" w14:textId="77777777" w:rsidR="00084B26" w:rsidRDefault="00000000">
            <w:r>
              <w:rPr>
                <w:sz w:val="16"/>
              </w:rPr>
              <w:t>Petrone y Preti (2010), ambiente tropical húmedo</w:t>
            </w:r>
          </w:p>
        </w:tc>
        <w:tc>
          <w:tcPr>
            <w:tcW w:w="2946" w:type="dxa"/>
            <w:vAlign w:val="center"/>
          </w:tcPr>
          <w:p w14:paraId="4400CC7B" w14:textId="77777777" w:rsidR="00084B26" w:rsidRDefault="00000000">
            <w:pPr>
              <w:spacing w:after="0" w:line="240" w:lineRule="auto"/>
            </w:pPr>
            <w:r>
              <w:rPr>
                <w:sz w:val="16"/>
              </w:rPr>
              <w:t>Obras vivas para mitigación y restauración</w:t>
            </w:r>
          </w:p>
        </w:tc>
        <w:tc>
          <w:tcPr>
            <w:tcW w:w="2946" w:type="dxa"/>
            <w:vAlign w:val="center"/>
          </w:tcPr>
          <w:p w14:paraId="6DB1706F" w14:textId="77777777" w:rsidR="00084B26" w:rsidRDefault="00000000">
            <w:pPr>
              <w:spacing w:after="0" w:line="240" w:lineRule="auto"/>
            </w:pPr>
            <w:r>
              <w:rPr>
                <w:sz w:val="16"/>
              </w:rPr>
              <w:t>El desempeño surge de la combinación entre geometría, régimen hídrico y material vegetal; requiere adaptación local.</w:t>
            </w:r>
          </w:p>
        </w:tc>
      </w:tr>
      <w:tr w:rsidR="00084B26" w14:paraId="044C4B64" w14:textId="77777777">
        <w:trPr>
          <w:jc w:val="center"/>
        </w:trPr>
        <w:tc>
          <w:tcPr>
            <w:tcW w:w="2946" w:type="dxa"/>
            <w:vAlign w:val="center"/>
          </w:tcPr>
          <w:p w14:paraId="09092CC7" w14:textId="77777777" w:rsidR="00084B26" w:rsidRDefault="00000000">
            <w:r>
              <w:rPr>
                <w:sz w:val="16"/>
              </w:rPr>
              <w:t>Preti y Giadrossich (2009), taludes vegetados</w:t>
            </w:r>
          </w:p>
        </w:tc>
        <w:tc>
          <w:tcPr>
            <w:tcW w:w="2946" w:type="dxa"/>
            <w:vAlign w:val="center"/>
          </w:tcPr>
          <w:p w14:paraId="40079254" w14:textId="77777777" w:rsidR="00084B26" w:rsidRDefault="00000000">
            <w:pPr>
              <w:spacing w:after="0" w:line="240" w:lineRule="auto"/>
            </w:pPr>
            <w:r>
              <w:rPr>
                <w:sz w:val="16"/>
              </w:rPr>
              <w:t>Medición de refuerzo de raíces de Spartium junceum</w:t>
            </w:r>
          </w:p>
        </w:tc>
        <w:tc>
          <w:tcPr>
            <w:tcW w:w="2946" w:type="dxa"/>
            <w:vAlign w:val="center"/>
          </w:tcPr>
          <w:p w14:paraId="7D8577A7" w14:textId="77777777" w:rsidR="00084B26" w:rsidRDefault="00000000">
            <w:pPr>
              <w:spacing w:after="0" w:line="240" w:lineRule="auto"/>
            </w:pPr>
            <w:r>
              <w:rPr>
                <w:sz w:val="16"/>
              </w:rPr>
              <w:t>El aporte disminuye con profundidad y depende de densidad, diámetro y cruce de la zona de corte.</w:t>
            </w:r>
          </w:p>
        </w:tc>
      </w:tr>
      <w:tr w:rsidR="00084B26" w14:paraId="34E006C4" w14:textId="77777777">
        <w:trPr>
          <w:jc w:val="center"/>
        </w:trPr>
        <w:tc>
          <w:tcPr>
            <w:tcW w:w="2946" w:type="dxa"/>
            <w:vAlign w:val="center"/>
          </w:tcPr>
          <w:p w14:paraId="7DF4E968" w14:textId="77777777" w:rsidR="00084B26" w:rsidRDefault="00000000">
            <w:r>
              <w:rPr>
                <w:sz w:val="16"/>
              </w:rPr>
              <w:t>Lammeraner et al. (2005), Nepal</w:t>
            </w:r>
          </w:p>
        </w:tc>
        <w:tc>
          <w:tcPr>
            <w:tcW w:w="2946" w:type="dxa"/>
            <w:vAlign w:val="center"/>
          </w:tcPr>
          <w:p w14:paraId="37AB2FD2" w14:textId="77777777" w:rsidR="00084B26" w:rsidRDefault="00000000">
            <w:pPr>
              <w:spacing w:after="0" w:line="240" w:lineRule="auto"/>
            </w:pPr>
            <w:r>
              <w:rPr>
                <w:sz w:val="16"/>
              </w:rPr>
              <w:t>Implementación y monitoreo en deslizamiento</w:t>
            </w:r>
          </w:p>
        </w:tc>
        <w:tc>
          <w:tcPr>
            <w:tcW w:w="2946" w:type="dxa"/>
            <w:vAlign w:val="center"/>
          </w:tcPr>
          <w:p w14:paraId="3D565AA3" w14:textId="77777777" w:rsidR="00084B26" w:rsidRDefault="00000000">
            <w:pPr>
              <w:spacing w:after="0" w:line="240" w:lineRule="auto"/>
            </w:pPr>
            <w:r>
              <w:rPr>
                <w:sz w:val="16"/>
              </w:rPr>
              <w:t>La supervivencia y evolución temporal deben verificarse después de construir; la recepción inicial no demuestra función madura.</w:t>
            </w:r>
          </w:p>
        </w:tc>
      </w:tr>
      <w:tr w:rsidR="00084B26" w14:paraId="1E1D39A8" w14:textId="77777777">
        <w:trPr>
          <w:jc w:val="center"/>
        </w:trPr>
        <w:tc>
          <w:tcPr>
            <w:tcW w:w="2946" w:type="dxa"/>
            <w:vAlign w:val="center"/>
          </w:tcPr>
          <w:p w14:paraId="11706818" w14:textId="77777777" w:rsidR="00084B26" w:rsidRDefault="00000000">
            <w:r>
              <w:rPr>
                <w:sz w:val="16"/>
              </w:rPr>
              <w:t>Lewis et al. (2001), carreteras de Washington</w:t>
            </w:r>
          </w:p>
        </w:tc>
        <w:tc>
          <w:tcPr>
            <w:tcW w:w="2946" w:type="dxa"/>
            <w:vAlign w:val="center"/>
          </w:tcPr>
          <w:p w14:paraId="205620DC" w14:textId="77777777" w:rsidR="00084B26" w:rsidRDefault="00000000">
            <w:pPr>
              <w:spacing w:after="0" w:line="240" w:lineRule="auto"/>
            </w:pPr>
            <w:r>
              <w:rPr>
                <w:sz w:val="16"/>
              </w:rPr>
              <w:t>Combinación de estacas, fajinas y otras técnicas en tres sitios</w:t>
            </w:r>
          </w:p>
        </w:tc>
        <w:tc>
          <w:tcPr>
            <w:tcW w:w="2946" w:type="dxa"/>
            <w:vAlign w:val="center"/>
          </w:tcPr>
          <w:p w14:paraId="23375DFB" w14:textId="77777777" w:rsidR="00084B26" w:rsidRDefault="00000000">
            <w:pPr>
              <w:spacing w:after="0" w:line="240" w:lineRule="auto"/>
            </w:pPr>
            <w:r>
              <w:rPr>
                <w:sz w:val="16"/>
              </w:rPr>
              <w:t>Las soluciones pueden ser prácticas para erosión y fallas someras cuando se adaptan al sitio y se monitorean.</w:t>
            </w:r>
          </w:p>
        </w:tc>
      </w:tr>
      <w:tr w:rsidR="00084B26" w14:paraId="5B507B3B" w14:textId="77777777">
        <w:trPr>
          <w:jc w:val="center"/>
        </w:trPr>
        <w:tc>
          <w:tcPr>
            <w:tcW w:w="2946" w:type="dxa"/>
            <w:vAlign w:val="center"/>
          </w:tcPr>
          <w:p w14:paraId="6239A2D8" w14:textId="77777777" w:rsidR="00084B26" w:rsidRDefault="00000000">
            <w:r>
              <w:rPr>
                <w:sz w:val="16"/>
              </w:rPr>
              <w:t>Luo et al. (2013), taludes de carretera en Beijing</w:t>
            </w:r>
          </w:p>
        </w:tc>
        <w:tc>
          <w:tcPr>
            <w:tcW w:w="2946" w:type="dxa"/>
            <w:vAlign w:val="center"/>
          </w:tcPr>
          <w:p w14:paraId="582916E1" w14:textId="77777777" w:rsidR="00084B26" w:rsidRDefault="00000000">
            <w:pPr>
              <w:spacing w:after="0" w:line="240" w:lineRule="auto"/>
            </w:pPr>
            <w:r>
              <w:rPr>
                <w:sz w:val="16"/>
              </w:rPr>
              <w:t>Mantas y geotextiles bajo lluvia simulada</w:t>
            </w:r>
          </w:p>
        </w:tc>
        <w:tc>
          <w:tcPr>
            <w:tcW w:w="2946" w:type="dxa"/>
            <w:vAlign w:val="center"/>
          </w:tcPr>
          <w:p w14:paraId="3B5F8A7C" w14:textId="77777777" w:rsidR="00084B26" w:rsidRDefault="00000000">
            <w:pPr>
              <w:spacing w:after="0" w:line="240" w:lineRule="auto"/>
            </w:pPr>
            <w:r>
              <w:rPr>
                <w:sz w:val="16"/>
              </w:rPr>
              <w:t>La protección temporal reduce escorrentía y suelo perdido si existe contacto, anclaje y manejo de bordes.</w:t>
            </w:r>
          </w:p>
        </w:tc>
      </w:tr>
      <w:tr w:rsidR="00084B26" w14:paraId="71B2CB61" w14:textId="77777777">
        <w:trPr>
          <w:jc w:val="center"/>
        </w:trPr>
        <w:tc>
          <w:tcPr>
            <w:tcW w:w="2946" w:type="dxa"/>
            <w:vAlign w:val="center"/>
          </w:tcPr>
          <w:p w14:paraId="39946B83" w14:textId="77777777" w:rsidR="00084B26" w:rsidRDefault="00000000">
            <w:r>
              <w:rPr>
                <w:sz w:val="16"/>
              </w:rPr>
              <w:t>Liu et al. (2016), Tres Gargantas</w:t>
            </w:r>
          </w:p>
        </w:tc>
        <w:tc>
          <w:tcPr>
            <w:tcW w:w="2946" w:type="dxa"/>
            <w:vAlign w:val="center"/>
          </w:tcPr>
          <w:p w14:paraId="0DED5BB5" w14:textId="77777777" w:rsidR="00084B26" w:rsidRDefault="00000000">
            <w:pPr>
              <w:spacing w:after="0" w:line="240" w:lineRule="auto"/>
            </w:pPr>
            <w:r>
              <w:rPr>
                <w:sz w:val="16"/>
              </w:rPr>
              <w:t>Cobertura vegetal más flujo concentrado de carretera</w:t>
            </w:r>
          </w:p>
        </w:tc>
        <w:tc>
          <w:tcPr>
            <w:tcW w:w="2946" w:type="dxa"/>
            <w:vAlign w:val="center"/>
          </w:tcPr>
          <w:p w14:paraId="65E3DD6F" w14:textId="77777777" w:rsidR="00084B26" w:rsidRDefault="00000000">
            <w:pPr>
              <w:spacing w:after="0" w:line="240" w:lineRule="auto"/>
            </w:pPr>
            <w:r>
              <w:rPr>
                <w:sz w:val="16"/>
              </w:rPr>
              <w:t>La concentración hidráulica puede dominar el efecto de la cobertura; las descargas deben disiparse.</w:t>
            </w:r>
          </w:p>
        </w:tc>
      </w:tr>
      <w:tr w:rsidR="00084B26" w14:paraId="1F4A4961" w14:textId="77777777">
        <w:trPr>
          <w:jc w:val="center"/>
        </w:trPr>
        <w:tc>
          <w:tcPr>
            <w:tcW w:w="2946" w:type="dxa"/>
            <w:vAlign w:val="center"/>
          </w:tcPr>
          <w:p w14:paraId="73314331" w14:textId="77777777" w:rsidR="00084B26" w:rsidRDefault="00000000">
            <w:r>
              <w:rPr>
                <w:sz w:val="16"/>
              </w:rPr>
              <w:t>Liu et al. (2014), taludes laterales de carretera</w:t>
            </w:r>
          </w:p>
        </w:tc>
        <w:tc>
          <w:tcPr>
            <w:tcW w:w="2946" w:type="dxa"/>
            <w:vAlign w:val="center"/>
          </w:tcPr>
          <w:p w14:paraId="43EBB1DA" w14:textId="77777777" w:rsidR="00084B26" w:rsidRDefault="00000000">
            <w:pPr>
              <w:spacing w:after="0" w:line="240" w:lineRule="auto"/>
            </w:pPr>
            <w:r>
              <w:rPr>
                <w:sz w:val="16"/>
              </w:rPr>
              <w:t>Vegetación, escorrentía, sedimento y resistencia al corte</w:t>
            </w:r>
          </w:p>
        </w:tc>
        <w:tc>
          <w:tcPr>
            <w:tcW w:w="2946" w:type="dxa"/>
            <w:vAlign w:val="center"/>
          </w:tcPr>
          <w:p w14:paraId="4412C632" w14:textId="77777777" w:rsidR="00084B26" w:rsidRDefault="00000000">
            <w:pPr>
              <w:spacing w:after="0" w:line="240" w:lineRule="auto"/>
            </w:pPr>
            <w:r>
              <w:rPr>
                <w:sz w:val="16"/>
              </w:rPr>
              <w:t>La cobertura reduce erosión y mejora la zona superficial, sin demostrar por sí sola estabilidad profunda.</w:t>
            </w:r>
          </w:p>
        </w:tc>
      </w:tr>
      <w:tr w:rsidR="00084B26" w14:paraId="110D77DD" w14:textId="77777777">
        <w:trPr>
          <w:jc w:val="center"/>
        </w:trPr>
        <w:tc>
          <w:tcPr>
            <w:tcW w:w="2946" w:type="dxa"/>
            <w:vAlign w:val="center"/>
          </w:tcPr>
          <w:p w14:paraId="7FEDC036" w14:textId="77777777" w:rsidR="00084B26" w:rsidRDefault="00000000">
            <w:r>
              <w:rPr>
                <w:sz w:val="16"/>
              </w:rPr>
              <w:t>Álvarez-Mozos et al. (2014), pendientes pronunciadas</w:t>
            </w:r>
          </w:p>
        </w:tc>
        <w:tc>
          <w:tcPr>
            <w:tcW w:w="2946" w:type="dxa"/>
            <w:vAlign w:val="center"/>
          </w:tcPr>
          <w:p w14:paraId="5EF3DDBD" w14:textId="77777777" w:rsidR="00084B26" w:rsidRDefault="00000000">
            <w:pPr>
              <w:spacing w:after="0" w:line="240" w:lineRule="auto"/>
            </w:pPr>
            <w:r>
              <w:rPr>
                <w:sz w:val="16"/>
              </w:rPr>
              <w:t>Geotextiles de control de erosión</w:t>
            </w:r>
          </w:p>
        </w:tc>
        <w:tc>
          <w:tcPr>
            <w:tcW w:w="2946" w:type="dxa"/>
            <w:vAlign w:val="center"/>
          </w:tcPr>
          <w:p w14:paraId="4C8E7AE5" w14:textId="77777777" w:rsidR="00084B26" w:rsidRDefault="00000000">
            <w:pPr>
              <w:spacing w:after="0" w:line="240" w:lineRule="auto"/>
            </w:pPr>
            <w:r>
              <w:rPr>
                <w:sz w:val="16"/>
              </w:rPr>
              <w:t>Material, instalación y contacto con el sustrato gobiernan la eficacia; flujo bajo la manta es un modo de falla.</w:t>
            </w:r>
          </w:p>
        </w:tc>
      </w:tr>
      <w:tr w:rsidR="00084B26" w14:paraId="154B8DC5" w14:textId="77777777">
        <w:trPr>
          <w:jc w:val="center"/>
        </w:trPr>
        <w:tc>
          <w:tcPr>
            <w:tcW w:w="2946" w:type="dxa"/>
            <w:vAlign w:val="center"/>
          </w:tcPr>
          <w:p w14:paraId="4CBC1680" w14:textId="77777777" w:rsidR="00084B26" w:rsidRDefault="00000000">
            <w:r>
              <w:rPr>
                <w:sz w:val="16"/>
              </w:rPr>
              <w:t>Bochet y García-Fayos (2004), taludes de autopista</w:t>
            </w:r>
          </w:p>
        </w:tc>
        <w:tc>
          <w:tcPr>
            <w:tcW w:w="2946" w:type="dxa"/>
            <w:vAlign w:val="center"/>
          </w:tcPr>
          <w:p w14:paraId="66B815B3" w14:textId="77777777" w:rsidR="00084B26" w:rsidRDefault="00000000">
            <w:pPr>
              <w:spacing w:after="0" w:line="240" w:lineRule="auto"/>
            </w:pPr>
            <w:r>
              <w:rPr>
                <w:sz w:val="16"/>
              </w:rPr>
              <w:t>Seguimiento de establecimiento y erosión</w:t>
            </w:r>
          </w:p>
        </w:tc>
        <w:tc>
          <w:tcPr>
            <w:tcW w:w="2946" w:type="dxa"/>
            <w:vAlign w:val="center"/>
          </w:tcPr>
          <w:p w14:paraId="3F254EC4" w14:textId="77777777" w:rsidR="00084B26" w:rsidRDefault="00000000">
            <w:pPr>
              <w:spacing w:after="0" w:line="240" w:lineRule="auto"/>
            </w:pPr>
            <w:r>
              <w:rPr>
                <w:sz w:val="16"/>
              </w:rPr>
              <w:t>Pendiente, orientación, suelo y agua controlan la colonización; el diseño debe incluir la fase inicial.</w:t>
            </w:r>
          </w:p>
        </w:tc>
      </w:tr>
      <w:tr w:rsidR="00084B26" w14:paraId="67C3367A" w14:textId="77777777">
        <w:trPr>
          <w:jc w:val="center"/>
        </w:trPr>
        <w:tc>
          <w:tcPr>
            <w:tcW w:w="2946" w:type="dxa"/>
            <w:vAlign w:val="center"/>
          </w:tcPr>
          <w:p w14:paraId="0E8A8CDF" w14:textId="77777777" w:rsidR="00084B26" w:rsidRDefault="00000000">
            <w:r>
              <w:rPr>
                <w:sz w:val="16"/>
              </w:rPr>
              <w:t>Bochet et al. (2007) y Tormo et al. (2007)</w:t>
            </w:r>
          </w:p>
        </w:tc>
        <w:tc>
          <w:tcPr>
            <w:tcW w:w="2946" w:type="dxa"/>
            <w:vAlign w:val="center"/>
          </w:tcPr>
          <w:p w14:paraId="744AF35E" w14:textId="77777777" w:rsidR="00084B26" w:rsidRDefault="00000000">
            <w:pPr>
              <w:spacing w:after="0" w:line="240" w:lineRule="auto"/>
            </w:pPr>
            <w:r>
              <w:rPr>
                <w:sz w:val="16"/>
              </w:rPr>
              <w:t>Colonización, topsoil, selección e hidrosiembra</w:t>
            </w:r>
          </w:p>
        </w:tc>
        <w:tc>
          <w:tcPr>
            <w:tcW w:w="2946" w:type="dxa"/>
            <w:vAlign w:val="center"/>
          </w:tcPr>
          <w:p w14:paraId="7A674B5D" w14:textId="77777777" w:rsidR="00084B26" w:rsidRDefault="00000000">
            <w:pPr>
              <w:spacing w:after="0" w:line="240" w:lineRule="auto"/>
            </w:pPr>
            <w:r>
              <w:rPr>
                <w:sz w:val="16"/>
              </w:rPr>
              <w:t>La fuente de semillas y la calidad del sustrato son tan importantes como el método de siembra.</w:t>
            </w:r>
          </w:p>
        </w:tc>
      </w:tr>
      <w:tr w:rsidR="00084B26" w14:paraId="0ED5E76E" w14:textId="77777777">
        <w:trPr>
          <w:jc w:val="center"/>
        </w:trPr>
        <w:tc>
          <w:tcPr>
            <w:tcW w:w="2946" w:type="dxa"/>
            <w:vAlign w:val="center"/>
          </w:tcPr>
          <w:p w14:paraId="470DE4B9" w14:textId="77777777" w:rsidR="00084B26" w:rsidRDefault="00000000">
            <w:r>
              <w:rPr>
                <w:sz w:val="16"/>
              </w:rPr>
              <w:t>Mickovski y van Beek (2009), vetiver joven</w:t>
            </w:r>
          </w:p>
        </w:tc>
        <w:tc>
          <w:tcPr>
            <w:tcW w:w="2946" w:type="dxa"/>
            <w:vAlign w:val="center"/>
          </w:tcPr>
          <w:p w14:paraId="7B0C7774" w14:textId="77777777" w:rsidR="00084B26" w:rsidRDefault="00000000">
            <w:pPr>
              <w:spacing w:after="0" w:line="240" w:lineRule="auto"/>
            </w:pPr>
            <w:r>
              <w:rPr>
                <w:sz w:val="16"/>
              </w:rPr>
              <w:t>Arquitectura radicular y refuerzo</w:t>
            </w:r>
          </w:p>
        </w:tc>
        <w:tc>
          <w:tcPr>
            <w:tcW w:w="2946" w:type="dxa"/>
            <w:vAlign w:val="center"/>
          </w:tcPr>
          <w:p w14:paraId="284F8CB6" w14:textId="77777777" w:rsidR="00084B26" w:rsidRDefault="00000000">
            <w:pPr>
              <w:spacing w:after="0" w:line="240" w:lineRule="auto"/>
            </w:pPr>
            <w:r>
              <w:rPr>
                <w:sz w:val="16"/>
              </w:rPr>
              <w:t>El vetiver aporta refuerzo superficial creciente; no sustituye medidas para fallas profundas o socavación.</w:t>
            </w:r>
          </w:p>
        </w:tc>
      </w:tr>
      <w:tr w:rsidR="00084B26" w14:paraId="2E60119D" w14:textId="77777777">
        <w:trPr>
          <w:jc w:val="center"/>
        </w:trPr>
        <w:tc>
          <w:tcPr>
            <w:tcW w:w="2946" w:type="dxa"/>
            <w:vAlign w:val="center"/>
          </w:tcPr>
          <w:p w14:paraId="3F1C1B1D" w14:textId="77777777" w:rsidR="00084B26" w:rsidRDefault="00000000">
            <w:r>
              <w:rPr>
                <w:sz w:val="16"/>
              </w:rPr>
              <w:t>Rahardjo et al. (2014), talud instrumentado</w:t>
            </w:r>
          </w:p>
        </w:tc>
        <w:tc>
          <w:tcPr>
            <w:tcW w:w="2946" w:type="dxa"/>
            <w:vAlign w:val="center"/>
          </w:tcPr>
          <w:p w14:paraId="3448EB32" w14:textId="77777777" w:rsidR="00084B26" w:rsidRDefault="00000000">
            <w:pPr>
              <w:spacing w:after="0" w:line="240" w:lineRule="auto"/>
            </w:pPr>
            <w:r>
              <w:rPr>
                <w:sz w:val="16"/>
              </w:rPr>
              <w:t>Arbustos y pasto de raíces profundas; humedad y succión</w:t>
            </w:r>
          </w:p>
        </w:tc>
        <w:tc>
          <w:tcPr>
            <w:tcW w:w="2946" w:type="dxa"/>
            <w:vAlign w:val="center"/>
          </w:tcPr>
          <w:p w14:paraId="6C73B7D3" w14:textId="77777777" w:rsidR="00084B26" w:rsidRDefault="00000000">
            <w:pPr>
              <w:spacing w:after="0" w:line="240" w:lineRule="auto"/>
            </w:pPr>
            <w:r>
              <w:rPr>
                <w:sz w:val="16"/>
              </w:rPr>
              <w:t>La vegetación recupera succión entre eventos, pero el beneficio depende de clima y humedad antecedente.</w:t>
            </w:r>
          </w:p>
        </w:tc>
      </w:tr>
      <w:tr w:rsidR="00084B26" w14:paraId="02404D1C" w14:textId="77777777">
        <w:trPr>
          <w:jc w:val="center"/>
        </w:trPr>
        <w:tc>
          <w:tcPr>
            <w:tcW w:w="2946" w:type="dxa"/>
            <w:vAlign w:val="center"/>
          </w:tcPr>
          <w:p w14:paraId="36908688" w14:textId="77777777" w:rsidR="00084B26" w:rsidRDefault="00000000">
            <w:r>
              <w:rPr>
                <w:sz w:val="16"/>
              </w:rPr>
              <w:t>Ng et al. (2017) y Liang et al. (2017)</w:t>
            </w:r>
          </w:p>
        </w:tc>
        <w:tc>
          <w:tcPr>
            <w:tcW w:w="2946" w:type="dxa"/>
            <w:vAlign w:val="center"/>
          </w:tcPr>
          <w:p w14:paraId="6185E8B8" w14:textId="77777777" w:rsidR="00084B26" w:rsidRDefault="00000000">
            <w:pPr>
              <w:spacing w:after="0" w:line="240" w:lineRule="auto"/>
            </w:pPr>
            <w:r>
              <w:rPr>
                <w:sz w:val="16"/>
              </w:rPr>
              <w:t>Postes vivos y plantas en centrífuga/modelación</w:t>
            </w:r>
          </w:p>
        </w:tc>
        <w:tc>
          <w:tcPr>
            <w:tcW w:w="2946" w:type="dxa"/>
            <w:vAlign w:val="center"/>
          </w:tcPr>
          <w:p w14:paraId="693DC876" w14:textId="77777777" w:rsidR="00084B26" w:rsidRDefault="00000000">
            <w:pPr>
              <w:spacing w:after="0" w:line="240" w:lineRule="auto"/>
            </w:pPr>
            <w:r>
              <w:rPr>
                <w:sz w:val="16"/>
              </w:rPr>
              <w:t>Los efectos hidrológicos y mecánicos son acoplados; la extrapolación exige representar escala, crecimiento y variabilidad.</w:t>
            </w:r>
          </w:p>
        </w:tc>
      </w:tr>
    </w:tbl>
    <w:p w14:paraId="77DAD068" w14:textId="77777777" w:rsidR="00084B26" w:rsidRDefault="00084B26">
      <w:pPr>
        <w:spacing w:after="40"/>
      </w:pPr>
    </w:p>
    <w:p w14:paraId="207A308E" w14:textId="77777777" w:rsidR="00084B26" w:rsidRDefault="00000000">
      <w:pPr>
        <w:spacing w:after="60" w:line="240" w:lineRule="auto"/>
        <w:ind w:firstLine="288"/>
        <w:jc w:val="both"/>
      </w:pPr>
      <w:r>
        <w:lastRenderedPageBreak/>
        <w:t>Nota: la tabla resume estudios representativos del corpus; la ausencia de una fuente no implica menor relevancia. Las conclusiones se interpretan según escala, suelo, clima y duración de cada investigación.</w:t>
      </w:r>
    </w:p>
    <w:p w14:paraId="0AA56B11" w14:textId="77777777" w:rsidR="00084B26" w:rsidRDefault="00000000">
      <w:pPr>
        <w:keepNext/>
        <w:spacing w:before="120" w:after="60" w:line="240" w:lineRule="auto"/>
      </w:pPr>
      <w:r>
        <w:rPr>
          <w:b/>
          <w:sz w:val="24"/>
        </w:rPr>
        <w:t>3.5 ESTABLECIMIENTO Y EVOLUCIÓN TEMPORAL</w:t>
      </w:r>
    </w:p>
    <w:p w14:paraId="0709167D" w14:textId="77777777" w:rsidR="00084B26" w:rsidRDefault="00000000">
      <w:pPr>
        <w:spacing w:after="60" w:line="240" w:lineRule="auto"/>
        <w:ind w:firstLine="288"/>
        <w:jc w:val="both"/>
      </w:pPr>
      <w:r>
        <w:rPr>
          <w:rFonts w:ascii="Arial" w:hAnsi="Arial"/>
        </w:rPr>
        <w:t>El establecimiento es el periodo que concentra mayor riesgo de desempeño. Los taludes recién conformados suelen tener baja materia orgánica, compactación heterogénea, escasa retención de agua y exposición térmica. La semilla puede desplazarse por escorrentía antes de germinar y las plántulas pueden morir durante una pausa seca. En taludes de autopista en Valencia, la pendiente, orientación, disponibilidad hídrica y características del sustrato controlaron el establecimiento y la erosión (Bochet y García‐Fayos, 2004). La colonización espontánea dependió de fuentes de semillas y filtros ecológicos (Bochet et al., 2007). Estos resultados son transferibles a carreteras tropicales: aunque la lluvia sea abundante, la intensidad puede remover semilla y suelo antes de que la vegetación cierre la superficie.</w:t>
      </w:r>
    </w:p>
    <w:p w14:paraId="02B06C71" w14:textId="77777777" w:rsidR="00084B26" w:rsidRDefault="00000000">
      <w:pPr>
        <w:spacing w:after="60" w:line="240" w:lineRule="auto"/>
        <w:ind w:firstLine="288"/>
        <w:jc w:val="both"/>
      </w:pPr>
      <w:r>
        <w:rPr>
          <w:rFonts w:ascii="Arial" w:hAnsi="Arial"/>
        </w:rPr>
        <w:t>La incorporación de capa vegetal, selección de especies y técnicas de siembra puede acelerar el cierre, pero los tratamientos deben responder al sustrato. Los ensayos en rellenos viales mediterráneos mostraron la relevancia de topsoil, selección y hidrosiembra (Tormo et al., 2007). En climas húmedos, el principio sigue siendo válido: una capa superficial con textura, nutrientes y microbiota adecuadas aumenta la probabilidad de éxito, mientras que un aporte excesivamente fino puede erosionarse o formar una interfaz débil. La especificación debe definir espesor, preparación, control de calidad y protección temporal.</w:t>
      </w:r>
    </w:p>
    <w:p w14:paraId="453CD2EA" w14:textId="77777777" w:rsidR="00084B26" w:rsidRDefault="00000000">
      <w:pPr>
        <w:spacing w:after="60" w:line="240" w:lineRule="auto"/>
        <w:ind w:firstLine="288"/>
        <w:jc w:val="both"/>
      </w:pPr>
      <w:r>
        <w:t>La diversidad funcional ofrece una estrategia para reducir vulnerabilidad. Gramíneas aportan cobertura y raíces finas rápidas; arbustos pueden desarrollar raíces más profundas y persistentes; especies rastreras protegen el contacto suelo-atmósfera; y plantas leñosas pueden reforzar zonas localizadas. Una mezcla no debe seleccionarse por número de especies, sino por complementariedad, compatibilidad y mantenimiento. Mezclas dominadas por una especie agresiva pueden desplazar nativas, aumentar carga de poda o introducir riesgo invasivo. El diseño funcional debe priorizar raíces, tolerancia a humedad, capacidad de rebrote, altura, inflamabilidad, interacción con visibilidad y disponibilidad en viveros.</w:t>
      </w:r>
    </w:p>
    <w:p w14:paraId="497426C3" w14:textId="77777777" w:rsidR="00084B26" w:rsidRDefault="00000000">
      <w:pPr>
        <w:spacing w:after="60" w:line="240" w:lineRule="auto"/>
        <w:ind w:firstLine="288"/>
        <w:jc w:val="both"/>
      </w:pPr>
      <w:r>
        <w:t>La trayectoria temporal puede dividirse en cuatro fases. La fase inmediata depende de reperfilado, anclajes, mantas y elementos inertes; la fase de establecimiento depende de germinación, riego y control de erosión; la fase madura depende de raíces, cobertura y drenaje; y la fase de envejecimiento incorpora competencia, muerte de plantas, descomposición, taponamiento y cambios de uso. Cada fase tiene un modo de falla distinto. Un contrato que solo verifica porcentaje de cobertura al finalizar la obra no garantiza que el sistema mantenga su función durante la temporada crítica siguiente.</w:t>
      </w:r>
    </w:p>
    <w:p w14:paraId="07FFE9D3" w14:textId="77777777" w:rsidR="00084B26" w:rsidRDefault="00000000">
      <w:pPr>
        <w:keepNext/>
        <w:spacing w:before="120" w:after="60" w:line="240" w:lineRule="auto"/>
      </w:pPr>
      <w:r>
        <w:rPr>
          <w:b/>
          <w:sz w:val="24"/>
        </w:rPr>
        <w:t>3.6 MANTENIMIENTO Y MODOS DE PÉRDIDA DE FUNCIÓN</w:t>
      </w:r>
    </w:p>
    <w:p w14:paraId="7FB9F51A" w14:textId="77777777" w:rsidR="00084B26" w:rsidRDefault="00000000">
      <w:pPr>
        <w:spacing w:after="60" w:line="240" w:lineRule="auto"/>
        <w:ind w:firstLine="288"/>
        <w:jc w:val="both"/>
      </w:pPr>
      <w:r>
        <w:t>El mantenimiento comienza antes de la primera tormenta. La inspección de recepción debe verificar continuidad de drenes, empotramiento de mantas, contacto con el suelo, estabilidad de estacas, protección del pie, viabilidad del material vegetal y ausencia de concentraciones no previstas. Durante el establecimiento se requieren riego cuando corresponda, reposición de plantas, reparación de surcos, control selectivo de malezas y protección frente a tránsito o pastoreo. Las tareas deben programarse por riesgo y estación, no mediante una frecuencia uniforme para todos los taludes.</w:t>
      </w:r>
    </w:p>
    <w:p w14:paraId="1BFCE228" w14:textId="77777777" w:rsidR="00084B26" w:rsidRDefault="00000000">
      <w:pPr>
        <w:spacing w:after="60" w:line="240" w:lineRule="auto"/>
        <w:ind w:firstLine="288"/>
        <w:jc w:val="both"/>
      </w:pPr>
      <w:r>
        <w:t xml:space="preserve">Los modos de pérdida de función pueden agruparse en hidráulicos, biológicos, geotécnicos y operacionales. Los hidráulicos incluyen cunetas obstruidas, bajantes desconectadas, flujo bajo mantas y erosión en salidas. Los biológicos comprenden mortalidad, cobertura discontinua, plagas, especies invasoras y raíces insuficientes. Los geotécnicos incluyen deformación, grietas de tracción, pérdida del pie, asentamiento de relleno y deslizamiento por debajo de raíces. Los operacionales abarcan poda inadecuada, corte excesivo, daños por maquinaria, incendios y falta de acceso. Una </w:t>
      </w:r>
      <w:r>
        <w:lastRenderedPageBreak/>
        <w:t>inspección eficaz debe reconocer señales tempranas de cada grupo y asignar una acción antes de que el daño se propague.</w:t>
      </w:r>
    </w:p>
    <w:p w14:paraId="4F7CC7CF" w14:textId="77777777" w:rsidR="00084B26" w:rsidRDefault="00000000">
      <w:pPr>
        <w:spacing w:after="60" w:line="240" w:lineRule="auto"/>
        <w:ind w:firstLine="288"/>
        <w:jc w:val="both"/>
      </w:pPr>
      <w:r>
        <w:t>La limpieza de drenajes es la tarea más crítica porque la vegetación no puede compensar una ruta de agua bloqueada. Hojarasca, sedimento y biomasa pueden obstruir cunetas o rejillas. La poda debe preservar la función radicular y la cobertura, evitando cortes que expongan suelo antes de la temporada lluviosa. La reparación de surcos debe incluir la causa hidráulica; rellenar una cárcava sin corregir la descarga produce recurrencia. Después de tormentas intensas, la inspección debe priorizar coronas, transiciones entre tratamiento y suelo desnudo, bordes de mantas, descargas de alcantarillas, pies y zonas con rezume.</w:t>
      </w:r>
    </w:p>
    <w:p w14:paraId="010A41A5" w14:textId="77777777" w:rsidR="00084B26" w:rsidRDefault="00000000">
      <w:pPr>
        <w:spacing w:after="60" w:line="240" w:lineRule="auto"/>
        <w:ind w:firstLine="288"/>
        <w:jc w:val="both"/>
      </w:pPr>
      <w:r>
        <w:t>El mantenimiento también es una fuente de información. Registros georreferenciados de supervivencia, cobertura, deformación, obstrucciones y reparaciones permiten actualizar la selección de especies y los detalles constructivos. Sin esos datos, la agencia repite soluciones sin distinguir fallas de diseño, instalación o conservación. Los indicadores mínimos deberían incluir porcentaje de cobertura efectiva, continuidad de drenaje, presencia y profundidad de erosión, mortalidad por unidad de longitud, desplazamientos visibles y tiempo de respuesta. En taludes críticos, sensores de humedad o succión y puntos topográficos pueden complementar la inspección visual.</w:t>
      </w:r>
    </w:p>
    <w:p w14:paraId="01850A92" w14:textId="77777777" w:rsidR="00084B26" w:rsidRDefault="00000000">
      <w:pPr>
        <w:keepNext/>
        <w:spacing w:before="120" w:after="60" w:line="240" w:lineRule="auto"/>
      </w:pPr>
      <w:r>
        <w:rPr>
          <w:b/>
          <w:sz w:val="24"/>
        </w:rPr>
        <w:t>3.7 ESCALABILIDAD A CORREDORES Y REDES VIALES</w:t>
      </w:r>
    </w:p>
    <w:p w14:paraId="67F33C49" w14:textId="77777777" w:rsidR="00084B26" w:rsidRDefault="00000000">
      <w:pPr>
        <w:spacing w:after="60" w:line="240" w:lineRule="auto"/>
        <w:ind w:firstLine="288"/>
        <w:jc w:val="both"/>
      </w:pPr>
      <w:r>
        <w:t>Escalar una solución no significa repetir el mismo detalle en cientos de taludes. Significa disponer de un sistema de clasificación que vincule amenaza, mecanismo de falla, criticidad vial y capacidad de mantenimiento con módulos de intervención. La red debe diferenciar taludes con erosión superficial, deslizamiento somero, rezume, descarga concentrada, pérdida del pie o inestabilidad profunda. Cada clase requiere un paquete de medidas y un nivel de inspección. La bioingeniería es especialmente escalable cuando controla daños frecuentes de baja a moderada consecuencia y evita que evolucionen hacia reparaciones mayores.</w:t>
      </w:r>
    </w:p>
    <w:p w14:paraId="795C992A" w14:textId="77777777" w:rsidR="00084B26" w:rsidRDefault="00000000">
      <w:pPr>
        <w:spacing w:after="60" w:line="240" w:lineRule="auto"/>
        <w:ind w:firstLine="288"/>
        <w:jc w:val="both"/>
      </w:pPr>
      <w:r>
        <w:t>La cadena de suministro es un requisito de ingeniería. Las estacas vivas deben cosecharse en temporada, mantener humedad y proceder de especies con capacidad de rebrote. La revegetación requiere semilla o planta con trazabilidad, cantidad y calidad suficientes. Los viveros regionales, bancos de material vegetativo y protocolos de propagación reducen la variabilidad. Sin esta infraestructura, un programa amplio puede recurrir a especies no adecuadas o material de baja viabilidad. La escalabilidad ecológica exige además evitar la introducción de especies invasoras y conservar diversidad genética local.</w:t>
      </w:r>
    </w:p>
    <w:p w14:paraId="706CCD47" w14:textId="77777777" w:rsidR="00084B26" w:rsidRDefault="00000000">
      <w:pPr>
        <w:spacing w:after="60" w:line="240" w:lineRule="auto"/>
        <w:ind w:firstLine="288"/>
        <w:jc w:val="both"/>
      </w:pPr>
      <w:r>
        <w:t>La estandarización debe centrarse en desempeño y no en recetas rígidas. Los pliegos pueden definir funciones, criterios de aceptación, detalles de anclaje, cobertura mínima por fase, supervivencia, protección temporal, pruebas de material y respuesta ante fallas. La especie y densidad pueden adaptarse a zonas bioclimáticas. Contratos con periodo de establecimiento y reposición alinean incentivos mejor que la recepción inmediata. También es necesario capacitar a inspectores y cuadrillas: una técnica sencilla en apariencia puede fallar por orientación incorrecta de estacas, zanjas poco profundas o drenajes interrumpidos.</w:t>
      </w:r>
    </w:p>
    <w:p w14:paraId="190C01B9" w14:textId="77777777" w:rsidR="00084B26" w:rsidRDefault="00000000">
      <w:pPr>
        <w:spacing w:after="60" w:line="240" w:lineRule="auto"/>
        <w:ind w:firstLine="288"/>
        <w:jc w:val="both"/>
      </w:pPr>
      <w:r>
        <w:rPr>
          <w:rFonts w:ascii="Arial" w:hAnsi="Arial"/>
        </w:rPr>
        <w:t>La integración con gestión de activos permite priorizar. Un inventario georreferenciado puede combinar pendiente, altura, suelo, drenaje, historial de fallas, tránsito, ruta alternativa y proximidad a comunidades para asignar criticidad. Las soluciones vivas se seleccionan entonces dentro de un portafolio que incluye drenaje, reperfilado, protección de pie y refuerzo. El costo debe evaluarse como valor presente de instalación, mantenimiento, inspección y consecuencia de cierre, no solo como costo inicial. La evidencia de campo en carreteras de Washington mostró que combinaciones de técnicas pueden ser prácticas y económicas para erosión y deslizamientos someros cuando se monitorean y se adaptan al sitio (Lewis et al., 2001).</w:t>
      </w:r>
    </w:p>
    <w:p w14:paraId="7CAAE374" w14:textId="77777777" w:rsidR="00084B26" w:rsidRDefault="00000000">
      <w:pPr>
        <w:spacing w:after="60" w:line="240" w:lineRule="auto"/>
        <w:ind w:firstLine="288"/>
        <w:jc w:val="both"/>
      </w:pPr>
      <w:r>
        <w:rPr>
          <w:rFonts w:ascii="Arial" w:hAnsi="Arial"/>
        </w:rPr>
        <w:lastRenderedPageBreak/>
        <w:t>TABLA 4</w:t>
      </w:r>
    </w:p>
    <w:p w14:paraId="42E4E3C2" w14:textId="77777777" w:rsidR="00084B26" w:rsidRDefault="00000000">
      <w:pPr>
        <w:spacing w:after="60" w:line="240" w:lineRule="auto"/>
        <w:ind w:firstLine="288"/>
        <w:jc w:val="both"/>
      </w:pPr>
      <w:r>
        <w:rPr>
          <w:rFonts w:ascii="Arial" w:hAnsi="Arial"/>
        </w:rPr>
        <w:t>MATRIZ DE DECISIÓN CON CRITERIOS HOMOGÉNEOS DE ESTABLECIMIENTO, MANTENIMIENTO Y ESCALABILIDAD</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42"/>
        <w:gridCol w:w="2429"/>
        <w:gridCol w:w="2419"/>
        <w:gridCol w:w="1638"/>
      </w:tblGrid>
      <w:tr w:rsidR="00084B26" w14:paraId="496DCE35" w14:textId="77777777">
        <w:trPr>
          <w:tblHeader/>
          <w:jc w:val="center"/>
        </w:trPr>
        <w:tc>
          <w:tcPr>
            <w:tcW w:w="2946" w:type="dxa"/>
            <w:shd w:val="clear" w:color="auto" w:fill="1F4E78"/>
            <w:vAlign w:val="center"/>
          </w:tcPr>
          <w:p w14:paraId="620264D0" w14:textId="77777777" w:rsidR="00084B26" w:rsidRDefault="00000000">
            <w:pPr>
              <w:spacing w:after="0" w:line="240" w:lineRule="auto"/>
              <w:jc w:val="center"/>
            </w:pPr>
            <w:r>
              <w:rPr>
                <w:b/>
                <w:color w:val="FFFFFF"/>
                <w:sz w:val="16"/>
              </w:rPr>
              <w:t>Condición dominante</w:t>
            </w:r>
          </w:p>
        </w:tc>
        <w:tc>
          <w:tcPr>
            <w:tcW w:w="2946" w:type="dxa"/>
            <w:shd w:val="clear" w:color="auto" w:fill="1F4E78"/>
            <w:vAlign w:val="center"/>
          </w:tcPr>
          <w:p w14:paraId="10E26984" w14:textId="77777777" w:rsidR="00084B26" w:rsidRDefault="00000000">
            <w:pPr>
              <w:spacing w:after="0" w:line="240" w:lineRule="auto"/>
              <w:jc w:val="center"/>
            </w:pPr>
            <w:r>
              <w:rPr>
                <w:b/>
                <w:color w:val="FFFFFF"/>
                <w:sz w:val="16"/>
              </w:rPr>
              <w:t>Sistema recomendado</w:t>
            </w:r>
          </w:p>
        </w:tc>
        <w:tc>
          <w:tcPr>
            <w:tcW w:w="2946" w:type="dxa"/>
            <w:shd w:val="clear" w:color="auto" w:fill="1F4E78"/>
            <w:vAlign w:val="center"/>
          </w:tcPr>
          <w:p w14:paraId="58F69A49" w14:textId="77777777" w:rsidR="00084B26" w:rsidRDefault="00000000">
            <w:pPr>
              <w:spacing w:after="0" w:line="240" w:lineRule="auto"/>
              <w:jc w:val="center"/>
            </w:pPr>
            <w:r>
              <w:rPr>
                <w:b/>
                <w:color w:val="FFFFFF"/>
                <w:sz w:val="16"/>
              </w:rPr>
              <w:t>Control y criterio de escalabilidad</w:t>
            </w:r>
          </w:p>
        </w:tc>
        <w:tc>
          <w:tcPr>
            <w:tcW w:w="1701" w:type="dxa"/>
            <w:shd w:val="clear" w:color="auto" w:fill="1F4E78"/>
          </w:tcPr>
          <w:p w14:paraId="0789B83E" w14:textId="77777777" w:rsidR="00084B26" w:rsidRDefault="00000000">
            <w:r>
              <w:rPr>
                <w:b/>
                <w:color w:val="FFFFFF"/>
                <w:sz w:val="16"/>
              </w:rPr>
              <w:t>Horizonte de función y recuperación</w:t>
            </w:r>
          </w:p>
        </w:tc>
      </w:tr>
      <w:tr w:rsidR="00084B26" w14:paraId="0BA7E4BD" w14:textId="77777777">
        <w:trPr>
          <w:jc w:val="center"/>
        </w:trPr>
        <w:tc>
          <w:tcPr>
            <w:tcW w:w="2946" w:type="dxa"/>
            <w:vAlign w:val="center"/>
          </w:tcPr>
          <w:p w14:paraId="148C9D20" w14:textId="77777777" w:rsidR="00084B26" w:rsidRDefault="00000000">
            <w:pPr>
              <w:spacing w:after="0" w:line="240" w:lineRule="auto"/>
            </w:pPr>
            <w:r>
              <w:rPr>
                <w:sz w:val="16"/>
              </w:rPr>
              <w:t>Erosión laminar o surcos incipientes; drenaje funcional</w:t>
            </w:r>
          </w:p>
        </w:tc>
        <w:tc>
          <w:tcPr>
            <w:tcW w:w="2946" w:type="dxa"/>
            <w:vAlign w:val="center"/>
          </w:tcPr>
          <w:p w14:paraId="71748E3E" w14:textId="77777777" w:rsidR="00084B26" w:rsidRDefault="00000000">
            <w:pPr>
              <w:spacing w:after="0" w:line="240" w:lineRule="auto"/>
            </w:pPr>
            <w:r>
              <w:rPr>
                <w:sz w:val="16"/>
              </w:rPr>
              <w:t>Hidrosiembra o cobertura nativa + manta biodegradable según energía de lluvia</w:t>
            </w:r>
          </w:p>
        </w:tc>
        <w:tc>
          <w:tcPr>
            <w:tcW w:w="2946" w:type="dxa"/>
            <w:vAlign w:val="center"/>
          </w:tcPr>
          <w:p w14:paraId="1F81D484" w14:textId="77777777" w:rsidR="00084B26" w:rsidRDefault="00000000">
            <w:pPr>
              <w:spacing w:after="0" w:line="240" w:lineRule="auto"/>
            </w:pPr>
            <w:r>
              <w:rPr>
                <w:sz w:val="16"/>
              </w:rPr>
              <w:t>Verificar contacto, anclajes, cobertura, reposición y transición con suelo desnudo; módulo altamente escalable.</w:t>
            </w:r>
          </w:p>
        </w:tc>
        <w:tc>
          <w:tcPr>
            <w:tcW w:w="1701" w:type="dxa"/>
          </w:tcPr>
          <w:p w14:paraId="52C28652" w14:textId="77777777" w:rsidR="00084B26" w:rsidRDefault="00000000">
            <w:r>
              <w:rPr>
                <w:sz w:val="16"/>
              </w:rPr>
              <w:t>Protección de manta inmediata; cobertura vegetal progresiva durante el establecimiento.</w:t>
            </w:r>
          </w:p>
        </w:tc>
      </w:tr>
      <w:tr w:rsidR="00084B26" w14:paraId="5FF5E832" w14:textId="77777777">
        <w:trPr>
          <w:jc w:val="center"/>
        </w:trPr>
        <w:tc>
          <w:tcPr>
            <w:tcW w:w="2946" w:type="dxa"/>
            <w:vAlign w:val="center"/>
          </w:tcPr>
          <w:p w14:paraId="42FEDE2F" w14:textId="77777777" w:rsidR="00084B26" w:rsidRDefault="00000000">
            <w:pPr>
              <w:spacing w:after="0" w:line="240" w:lineRule="auto"/>
            </w:pPr>
            <w:r>
              <w:rPr>
                <w:sz w:val="16"/>
              </w:rPr>
              <w:t>Escorrentía concentrada desde calzada, cuneta o alcantarilla</w:t>
            </w:r>
          </w:p>
        </w:tc>
        <w:tc>
          <w:tcPr>
            <w:tcW w:w="2946" w:type="dxa"/>
            <w:vAlign w:val="center"/>
          </w:tcPr>
          <w:p w14:paraId="469E7B67" w14:textId="77777777" w:rsidR="00084B26" w:rsidRDefault="00000000">
            <w:pPr>
              <w:spacing w:after="0" w:line="240" w:lineRule="auto"/>
            </w:pPr>
            <w:r>
              <w:rPr>
                <w:sz w:val="16"/>
              </w:rPr>
              <w:t>Disipador, canal revestido o bajante + revegetación fuera del núcleo de descarga</w:t>
            </w:r>
          </w:p>
        </w:tc>
        <w:tc>
          <w:tcPr>
            <w:tcW w:w="2946" w:type="dxa"/>
            <w:vAlign w:val="center"/>
          </w:tcPr>
          <w:p w14:paraId="48F0FF73" w14:textId="77777777" w:rsidR="00084B26" w:rsidRDefault="00000000">
            <w:pPr>
              <w:spacing w:after="0" w:line="240" w:lineRule="auto"/>
            </w:pPr>
            <w:r>
              <w:rPr>
                <w:sz w:val="16"/>
              </w:rPr>
              <w:t>No descargar sobre vegetación sin protección; inspeccionar salidas después de tormentas.</w:t>
            </w:r>
          </w:p>
        </w:tc>
        <w:tc>
          <w:tcPr>
            <w:tcW w:w="1701" w:type="dxa"/>
          </w:tcPr>
          <w:p w14:paraId="6084C13B" w14:textId="77777777" w:rsidR="00084B26" w:rsidRDefault="00000000">
            <w:r>
              <w:rPr>
                <w:sz w:val="16"/>
              </w:rPr>
              <w:t>Control hidráulico inmediato al entrar en servicio; revegetación complementaria progresiva.</w:t>
            </w:r>
          </w:p>
        </w:tc>
      </w:tr>
      <w:tr w:rsidR="00084B26" w14:paraId="797B0B45" w14:textId="77777777">
        <w:trPr>
          <w:jc w:val="center"/>
        </w:trPr>
        <w:tc>
          <w:tcPr>
            <w:tcW w:w="2946" w:type="dxa"/>
            <w:vAlign w:val="center"/>
          </w:tcPr>
          <w:p w14:paraId="77D9B85A" w14:textId="77777777" w:rsidR="00084B26" w:rsidRDefault="00000000">
            <w:pPr>
              <w:spacing w:after="0" w:line="240" w:lineRule="auto"/>
            </w:pPr>
            <w:r>
              <w:rPr>
                <w:sz w:val="16"/>
              </w:rPr>
              <w:t>Deslizamiento somero dentro de profundidad radicular</w:t>
            </w:r>
          </w:p>
        </w:tc>
        <w:tc>
          <w:tcPr>
            <w:tcW w:w="2946" w:type="dxa"/>
            <w:vAlign w:val="center"/>
          </w:tcPr>
          <w:p w14:paraId="76824E00" w14:textId="77777777" w:rsidR="00084B26" w:rsidRDefault="00000000">
            <w:pPr>
              <w:spacing w:after="0" w:line="240" w:lineRule="auto"/>
            </w:pPr>
            <w:r>
              <w:rPr>
                <w:sz w:val="16"/>
              </w:rPr>
              <w:t>Estacas vivas, fajinas, capas de ramas o mezcla de raíces profundas + reperfilado</w:t>
            </w:r>
          </w:p>
        </w:tc>
        <w:tc>
          <w:tcPr>
            <w:tcW w:w="2946" w:type="dxa"/>
            <w:vAlign w:val="center"/>
          </w:tcPr>
          <w:p w14:paraId="7FF75932" w14:textId="77777777" w:rsidR="00084B26" w:rsidRDefault="00000000">
            <w:pPr>
              <w:spacing w:after="0" w:line="240" w:lineRule="auto"/>
            </w:pPr>
            <w:r>
              <w:rPr>
                <w:sz w:val="16"/>
              </w:rPr>
              <w:t>Confirmar profundidad de falla, viabilidad vegetal y estabilidad durante establecimiento; escalable con viveros y cuadrillas capacitadas.</w:t>
            </w:r>
          </w:p>
        </w:tc>
        <w:tc>
          <w:tcPr>
            <w:tcW w:w="1701" w:type="dxa"/>
          </w:tcPr>
          <w:p w14:paraId="4F25D577" w14:textId="77777777" w:rsidR="00084B26" w:rsidRDefault="00000000">
            <w:r>
              <w:rPr>
                <w:sz w:val="16"/>
              </w:rPr>
              <w:t>Aporte inerte inicial; refuerzo radicular y recuperación biológica a mediano plazo.</w:t>
            </w:r>
          </w:p>
        </w:tc>
      </w:tr>
      <w:tr w:rsidR="00084B26" w14:paraId="2112C047" w14:textId="77777777">
        <w:trPr>
          <w:jc w:val="center"/>
        </w:trPr>
        <w:tc>
          <w:tcPr>
            <w:tcW w:w="2946" w:type="dxa"/>
            <w:vAlign w:val="center"/>
          </w:tcPr>
          <w:p w14:paraId="006C5C7E" w14:textId="77777777" w:rsidR="00084B26" w:rsidRDefault="00000000">
            <w:pPr>
              <w:spacing w:after="0" w:line="240" w:lineRule="auto"/>
            </w:pPr>
            <w:r>
              <w:rPr>
                <w:sz w:val="16"/>
              </w:rPr>
              <w:t>Rezume o pérdida de succión sobre estrato menos permeable</w:t>
            </w:r>
          </w:p>
        </w:tc>
        <w:tc>
          <w:tcPr>
            <w:tcW w:w="2946" w:type="dxa"/>
            <w:vAlign w:val="center"/>
          </w:tcPr>
          <w:p w14:paraId="5824FC27" w14:textId="77777777" w:rsidR="00084B26" w:rsidRDefault="00000000">
            <w:pPr>
              <w:spacing w:after="0" w:line="240" w:lineRule="auto"/>
            </w:pPr>
            <w:r>
              <w:rPr>
                <w:sz w:val="16"/>
              </w:rPr>
              <w:t>Subdrenaje o capa drenante + cubierta vegetal compatible</w:t>
            </w:r>
          </w:p>
        </w:tc>
        <w:tc>
          <w:tcPr>
            <w:tcW w:w="2946" w:type="dxa"/>
            <w:vAlign w:val="center"/>
          </w:tcPr>
          <w:p w14:paraId="1DEA4EB8" w14:textId="77777777" w:rsidR="00084B26" w:rsidRDefault="00000000">
            <w:pPr>
              <w:spacing w:after="0" w:line="240" w:lineRule="auto"/>
            </w:pPr>
            <w:r>
              <w:rPr>
                <w:sz w:val="16"/>
              </w:rPr>
              <w:t>Medir humedad o rezume; mantener salidas. La vegetación complementa, no sustituye la ruta de drenaje.</w:t>
            </w:r>
          </w:p>
        </w:tc>
        <w:tc>
          <w:tcPr>
            <w:tcW w:w="1701" w:type="dxa"/>
          </w:tcPr>
          <w:p w14:paraId="40DAB306" w14:textId="77777777" w:rsidR="00084B26" w:rsidRDefault="00000000">
            <w:r>
              <w:rPr>
                <w:sz w:val="16"/>
              </w:rPr>
              <w:t>Drenaje funcional inmediato; efecto vegetal condicionado por estación y humedad antecedente.</w:t>
            </w:r>
          </w:p>
        </w:tc>
      </w:tr>
      <w:tr w:rsidR="00084B26" w14:paraId="5C5E1ACB" w14:textId="77777777">
        <w:trPr>
          <w:jc w:val="center"/>
        </w:trPr>
        <w:tc>
          <w:tcPr>
            <w:tcW w:w="2946" w:type="dxa"/>
            <w:vAlign w:val="center"/>
          </w:tcPr>
          <w:p w14:paraId="67672820" w14:textId="77777777" w:rsidR="00084B26" w:rsidRDefault="00000000">
            <w:pPr>
              <w:spacing w:after="0" w:line="240" w:lineRule="auto"/>
            </w:pPr>
            <w:r>
              <w:rPr>
                <w:sz w:val="16"/>
              </w:rPr>
              <w:t>Erosión o socavación en el pie</w:t>
            </w:r>
          </w:p>
        </w:tc>
        <w:tc>
          <w:tcPr>
            <w:tcW w:w="2946" w:type="dxa"/>
            <w:vAlign w:val="center"/>
          </w:tcPr>
          <w:p w14:paraId="7B7B46A3" w14:textId="77777777" w:rsidR="00084B26" w:rsidRDefault="00000000">
            <w:pPr>
              <w:spacing w:after="0" w:line="240" w:lineRule="auto"/>
            </w:pPr>
            <w:r>
              <w:rPr>
                <w:sz w:val="16"/>
              </w:rPr>
              <w:t>Protección inerte o estructura viva-híbrida + revegetación de la cara</w:t>
            </w:r>
          </w:p>
        </w:tc>
        <w:tc>
          <w:tcPr>
            <w:tcW w:w="2946" w:type="dxa"/>
            <w:vAlign w:val="center"/>
          </w:tcPr>
          <w:p w14:paraId="4351D473" w14:textId="77777777" w:rsidR="00084B26" w:rsidRDefault="00000000">
            <w:pPr>
              <w:spacing w:after="0" w:line="240" w:lineRule="auto"/>
            </w:pPr>
            <w:r>
              <w:rPr>
                <w:sz w:val="16"/>
              </w:rPr>
              <w:t>Dimensionar para caudal y velocidad; controlar pérdida de apoyo y degradación de madera.</w:t>
            </w:r>
          </w:p>
        </w:tc>
        <w:tc>
          <w:tcPr>
            <w:tcW w:w="1701" w:type="dxa"/>
          </w:tcPr>
          <w:p w14:paraId="355015B9" w14:textId="77777777" w:rsidR="00084B26" w:rsidRDefault="00000000">
            <w:r>
              <w:rPr>
                <w:sz w:val="16"/>
              </w:rPr>
              <w:t>Protección del pie inmediata; integración vegetal progresiva y dependiente del mantenimiento.</w:t>
            </w:r>
          </w:p>
        </w:tc>
      </w:tr>
      <w:tr w:rsidR="00084B26" w14:paraId="2C54E0A5" w14:textId="77777777">
        <w:trPr>
          <w:jc w:val="center"/>
        </w:trPr>
        <w:tc>
          <w:tcPr>
            <w:tcW w:w="2946" w:type="dxa"/>
            <w:vAlign w:val="center"/>
          </w:tcPr>
          <w:p w14:paraId="2136CD9E" w14:textId="77777777" w:rsidR="00084B26" w:rsidRDefault="00000000">
            <w:pPr>
              <w:spacing w:after="0" w:line="240" w:lineRule="auto"/>
            </w:pPr>
            <w:r>
              <w:rPr>
                <w:sz w:val="16"/>
              </w:rPr>
              <w:t>Talud de corte muy compacto o pobre en nutrientes</w:t>
            </w:r>
          </w:p>
        </w:tc>
        <w:tc>
          <w:tcPr>
            <w:tcW w:w="2946" w:type="dxa"/>
            <w:vAlign w:val="center"/>
          </w:tcPr>
          <w:p w14:paraId="4E7AE124" w14:textId="77777777" w:rsidR="00084B26" w:rsidRDefault="00000000">
            <w:pPr>
              <w:spacing w:after="0" w:line="240" w:lineRule="auto"/>
            </w:pPr>
            <w:r>
              <w:rPr>
                <w:sz w:val="16"/>
              </w:rPr>
              <w:t>Preparación superficial, topsoil controlado, manta y mezcla funcional de especies</w:t>
            </w:r>
          </w:p>
        </w:tc>
        <w:tc>
          <w:tcPr>
            <w:tcW w:w="2946" w:type="dxa"/>
            <w:vAlign w:val="center"/>
          </w:tcPr>
          <w:p w14:paraId="5B1C0B80" w14:textId="77777777" w:rsidR="00084B26" w:rsidRDefault="00000000">
            <w:pPr>
              <w:spacing w:after="0" w:line="240" w:lineRule="auto"/>
            </w:pPr>
            <w:r>
              <w:rPr>
                <w:sz w:val="16"/>
              </w:rPr>
              <w:t>Controlar espesor, fertilidad, erosión de la capa añadida y riego de establecimiento.</w:t>
            </w:r>
          </w:p>
        </w:tc>
        <w:tc>
          <w:tcPr>
            <w:tcW w:w="1701" w:type="dxa"/>
          </w:tcPr>
          <w:p w14:paraId="5DF21D24" w14:textId="77777777" w:rsidR="00084B26" w:rsidRDefault="00000000">
            <w:r>
              <w:rPr>
                <w:sz w:val="16"/>
              </w:rPr>
              <w:t>Protección temporal desde la instalación; cierre vegetal durante la fase de establecimiento.</w:t>
            </w:r>
          </w:p>
        </w:tc>
      </w:tr>
      <w:tr w:rsidR="00084B26" w14:paraId="0B35DCC4" w14:textId="77777777">
        <w:trPr>
          <w:jc w:val="center"/>
        </w:trPr>
        <w:tc>
          <w:tcPr>
            <w:tcW w:w="2946" w:type="dxa"/>
            <w:vAlign w:val="center"/>
          </w:tcPr>
          <w:p w14:paraId="4F3AE95D" w14:textId="77777777" w:rsidR="00084B26" w:rsidRDefault="00000000">
            <w:pPr>
              <w:spacing w:after="0" w:line="240" w:lineRule="auto"/>
            </w:pPr>
            <w:r>
              <w:rPr>
                <w:sz w:val="16"/>
              </w:rPr>
              <w:t>Falla profunda, gran altura o alta consecuencia vial</w:t>
            </w:r>
          </w:p>
        </w:tc>
        <w:tc>
          <w:tcPr>
            <w:tcW w:w="2946" w:type="dxa"/>
            <w:vAlign w:val="center"/>
          </w:tcPr>
          <w:p w14:paraId="2217834E" w14:textId="77777777" w:rsidR="00084B26" w:rsidRDefault="00000000">
            <w:pPr>
              <w:spacing w:after="0" w:line="240" w:lineRule="auto"/>
            </w:pPr>
            <w:r>
              <w:rPr>
                <w:sz w:val="16"/>
              </w:rPr>
              <w:t>Solución geotécnica principal: drenaje profundo, bermas, muros, anclajes o refuerzo; bioingeniería como complemento</w:t>
            </w:r>
          </w:p>
        </w:tc>
        <w:tc>
          <w:tcPr>
            <w:tcW w:w="2946" w:type="dxa"/>
            <w:vAlign w:val="center"/>
          </w:tcPr>
          <w:p w14:paraId="7B151E1A" w14:textId="77777777" w:rsidR="00084B26" w:rsidRDefault="00000000">
            <w:pPr>
              <w:spacing w:after="0" w:line="240" w:lineRule="auto"/>
            </w:pPr>
            <w:r>
              <w:rPr>
                <w:sz w:val="16"/>
              </w:rPr>
              <w:t>Requiere análisis específico y monitoreo; no usar una medida viva como única barrera de seguridad.</w:t>
            </w:r>
          </w:p>
        </w:tc>
        <w:tc>
          <w:tcPr>
            <w:tcW w:w="1701" w:type="dxa"/>
          </w:tcPr>
          <w:p w14:paraId="7430B252" w14:textId="77777777" w:rsidR="00084B26" w:rsidRDefault="00000000">
            <w:r>
              <w:rPr>
                <w:sz w:val="16"/>
              </w:rPr>
              <w:t xml:space="preserve">Seguridad principal al concluir la obra geotécnica; bioingeniería como función </w:t>
            </w:r>
            <w:r>
              <w:rPr>
                <w:sz w:val="16"/>
              </w:rPr>
              <w:lastRenderedPageBreak/>
              <w:t>complementaria progresiva.</w:t>
            </w:r>
          </w:p>
        </w:tc>
      </w:tr>
      <w:tr w:rsidR="00084B26" w14:paraId="0CF01166" w14:textId="77777777">
        <w:trPr>
          <w:jc w:val="center"/>
        </w:trPr>
        <w:tc>
          <w:tcPr>
            <w:tcW w:w="2946" w:type="dxa"/>
            <w:vAlign w:val="center"/>
          </w:tcPr>
          <w:p w14:paraId="2C63111D" w14:textId="77777777" w:rsidR="00084B26" w:rsidRDefault="00000000">
            <w:pPr>
              <w:spacing w:after="0" w:line="240" w:lineRule="auto"/>
            </w:pPr>
            <w:r>
              <w:rPr>
                <w:sz w:val="16"/>
              </w:rPr>
              <w:lastRenderedPageBreak/>
              <w:t>Programa a escala de corredor o red</w:t>
            </w:r>
          </w:p>
        </w:tc>
        <w:tc>
          <w:tcPr>
            <w:tcW w:w="2946" w:type="dxa"/>
            <w:vAlign w:val="center"/>
          </w:tcPr>
          <w:p w14:paraId="6F944B11" w14:textId="77777777" w:rsidR="00084B26" w:rsidRDefault="00000000">
            <w:pPr>
              <w:spacing w:after="0" w:line="240" w:lineRule="auto"/>
            </w:pPr>
            <w:r>
              <w:rPr>
                <w:sz w:val="16"/>
              </w:rPr>
              <w:t>Catálogo de módulos por mecanismo y zona bioclimática + inventario georreferenciado</w:t>
            </w:r>
          </w:p>
        </w:tc>
        <w:tc>
          <w:tcPr>
            <w:tcW w:w="2946" w:type="dxa"/>
            <w:vAlign w:val="center"/>
          </w:tcPr>
          <w:p w14:paraId="2710BA99" w14:textId="77777777" w:rsidR="00084B26" w:rsidRDefault="00000000">
            <w:pPr>
              <w:spacing w:after="0" w:line="240" w:lineRule="auto"/>
            </w:pPr>
            <w:r>
              <w:rPr>
                <w:sz w:val="16"/>
              </w:rPr>
              <w:t>Asegurar viveros, especificaciones por desempeño, garantía de establecimiento, indicadores y mantenimiento basado en riesgo.</w:t>
            </w:r>
          </w:p>
        </w:tc>
        <w:tc>
          <w:tcPr>
            <w:tcW w:w="1701" w:type="dxa"/>
          </w:tcPr>
          <w:p w14:paraId="47D336F4" w14:textId="77777777" w:rsidR="00084B26" w:rsidRDefault="00000000">
            <w:r>
              <w:rPr>
                <w:sz w:val="16"/>
              </w:rPr>
              <w:t>Implementación por fases; recuperación medida mediante cobertura, drenaje y restitución del servicio.</w:t>
            </w:r>
          </w:p>
        </w:tc>
      </w:tr>
    </w:tbl>
    <w:p w14:paraId="70D838F7" w14:textId="77777777" w:rsidR="00084B26" w:rsidRDefault="00084B26">
      <w:pPr>
        <w:spacing w:after="40"/>
      </w:pPr>
    </w:p>
    <w:p w14:paraId="320E3D70" w14:textId="77777777" w:rsidR="00084B26" w:rsidRDefault="00000000">
      <w:pPr>
        <w:spacing w:after="60" w:line="240" w:lineRule="auto"/>
        <w:ind w:firstLine="288"/>
        <w:jc w:val="both"/>
      </w:pPr>
      <w:r>
        <w:t>Nota: la selección final requiere investigación geotécnica e hidráulica proporcional a la altura, consecuencia y mecanismo del talud. La matriz orienta el cribado y no reemplaza el diseño específico.</w:t>
      </w:r>
    </w:p>
    <w:p w14:paraId="6757C621" w14:textId="77777777" w:rsidR="00084B26" w:rsidRDefault="00000000">
      <w:pPr>
        <w:keepNext/>
        <w:spacing w:before="160" w:after="60" w:line="240" w:lineRule="auto"/>
      </w:pPr>
      <w:r>
        <w:rPr>
          <w:b/>
          <w:sz w:val="24"/>
        </w:rPr>
        <w:t>4. DISCUSIÓN</w:t>
      </w:r>
    </w:p>
    <w:p w14:paraId="2D58D507" w14:textId="77777777" w:rsidR="00084B26" w:rsidRDefault="00000000">
      <w:pPr>
        <w:spacing w:after="60" w:line="240" w:lineRule="auto"/>
        <w:ind w:firstLine="288"/>
        <w:jc w:val="both"/>
      </w:pPr>
      <w:r>
        <w:t>La síntesis confirma que la bioingeniería es más eficaz cuando el problema está correctamente delimitado. La cobertura vegetal y los materiales biodegradables controlan erosión difusa y reducen pérdida de suelo. Las estacas, fajinas y capas de ramas añaden estructura y pueden estabilizar fallas someras. Ninguna de estas funciones sustituye por sí sola el drenaje de una masa saturable o el soporte de un pie socavado. La decisión no debe plantearse como “verde o gris”, sino como la distribución de funciones entre componentes vivos e inertes. La intervención viva aporta adaptación, rugosidad, refuerzo progresivo y recuperación ecológica; la ingeniería convencional aporta capacidad inmediata, control geométrico y rutas de agua verificables.</w:t>
      </w:r>
    </w:p>
    <w:p w14:paraId="43F13CBE" w14:textId="77777777" w:rsidR="00084B26" w:rsidRDefault="00000000">
      <w:pPr>
        <w:spacing w:after="60" w:line="240" w:lineRule="auto"/>
        <w:ind w:firstLine="288"/>
        <w:jc w:val="both"/>
      </w:pPr>
      <w:r>
        <w:t>Bajo lluvias extremas, el diseño híbrido es la opción más robusta. Una secuencia racional comienza con la intercepción de agua en corona, continúa con conducción segura, limita infiltración donde exista una capa sensible, protege el pie y estabiliza la superficie. La vegetación se incorpora para disipar flujo difuso, reforzar la zona somera y recuperar el suelo. En un corte con roca meteorizada y rezume, por ejemplo, una cubierta herbácea sin subdrenaje puede ocultar la humedad sin resolverla. En un relleno erosionable con drenaje adecuado, una manta biodegradable e hidrosiembra pueden ser suficientes. La matriz de decisión debe partir del mecanismo, no de la disponibilidad de una técnica popular.</w:t>
      </w:r>
    </w:p>
    <w:p w14:paraId="18B41EA4" w14:textId="77777777" w:rsidR="00084B26" w:rsidRDefault="00000000">
      <w:pPr>
        <w:spacing w:after="60" w:line="240" w:lineRule="auto"/>
        <w:ind w:firstLine="288"/>
        <w:jc w:val="both"/>
      </w:pPr>
      <w:r>
        <w:t>La noción de resiliencia requiere considerar recuperación. Una solución rígida puede sufrir daño localizado y permanecer degradada hasta la reparación; una cubierta viva puede recolonizar pequeñas áreas si el sustrato y el drenaje permanecen funcionales. Pero la recuperación biológica tiene límites y tiempos. Una tormenta que remueve la capa superficial puede eliminar raíces y banco de semillas, reiniciando el sistema. Por ello, la resiliencia no se demuestra solo por supervivencia de plantas: debe medirse mediante continuidad de la función hidráulica, estabilidad geométrica y tiempo hasta recuperar cobertura.</w:t>
      </w:r>
    </w:p>
    <w:p w14:paraId="51083658" w14:textId="77777777" w:rsidR="00084B26" w:rsidRDefault="00000000">
      <w:pPr>
        <w:spacing w:after="60" w:line="240" w:lineRule="auto"/>
        <w:ind w:firstLine="288"/>
        <w:jc w:val="both"/>
      </w:pPr>
      <w:r>
        <w:t xml:space="preserve">La incertidumbre biológica no justifica excluir estas soluciones; exige manejarla. La variación de supervivencia puede reducirse mediante selección local, ensayos piloto, especificaciones de calidad, instalación estacional y mantenimiento de establecimiento. La variación del refuerzo puede tratarse con valores conservadores y análisis de sensibilidad. La incertidumbre hidrológica se reduce con monitoreo y diseño de drenaje para escenarios desfavorables. En taludes de alta consecuencia, la bioingeniería puede </w:t>
      </w:r>
      <w:r>
        <w:lastRenderedPageBreak/>
        <w:t>aportar redundancia, pero no debe ser el único componente cuyo fallo cause pérdida de la carretera.</w:t>
      </w:r>
    </w:p>
    <w:p w14:paraId="4319B3B9" w14:textId="77777777" w:rsidR="00084B26" w:rsidRDefault="00000000">
      <w:pPr>
        <w:keepNext/>
        <w:spacing w:before="120" w:after="60" w:line="240" w:lineRule="auto"/>
      </w:pPr>
      <w:r>
        <w:rPr>
          <w:b/>
          <w:sz w:val="24"/>
        </w:rPr>
        <w:t>4.1 FRONTERAS DE DESEMPEÑO</w:t>
      </w:r>
    </w:p>
    <w:p w14:paraId="4C108D4F" w14:textId="77777777" w:rsidR="00084B26" w:rsidRDefault="00000000">
      <w:pPr>
        <w:spacing w:after="60" w:line="240" w:lineRule="auto"/>
        <w:ind w:firstLine="288"/>
        <w:jc w:val="both"/>
      </w:pPr>
      <w:r>
        <w:t>La primera frontera es la profundidad. Las técnicas vegetales son apropiadas cuando la zona activa coincide con la profundidad radicular o cuando el objetivo es proteger el suelo que recubre una geometría estable. Si el mecanismo involucra una superficie profunda, un relleno completo o un estrato débil continuo, se requiere un análisis geotécnico y medidas que alcancen esa profundidad. La segunda frontera es el caudal concentrado: las plantas reducen erosión por flujo difuso, pero una descarga puntual puede superar su resistencia. La tercera es el tiempo: la función no está disponible por completo el día de instalación. La cuarta es el mantenimiento: una solución diseñada sin recursos para conservarla tiene baja confiabilidad, aunque funcione en un ensayo.</w:t>
      </w:r>
    </w:p>
    <w:p w14:paraId="3209E605" w14:textId="77777777" w:rsidR="00084B26" w:rsidRDefault="00000000">
      <w:pPr>
        <w:spacing w:after="60" w:line="240" w:lineRule="auto"/>
        <w:ind w:firstLine="288"/>
        <w:jc w:val="both"/>
      </w:pPr>
      <w:r>
        <w:t>La evidencia sobre erosión es más abundante que la evidencia sobre estabilidad global. Muchos estudios reportan reducción de sedimento o aumento de cobertura y luego usan esos resultados como sinónimo de estabilización. Esa inferencia solo es válida cuando la falla esperada es superficial y erosiva. Para deslizamientos, se necesitan parámetros de suelo, geometría, profundidad de raíces, humedad y deformación. Una agenda de investigación útil debe vincular las métricas ambientales con estados límite geotécnicos y niveles de servicio vial.</w:t>
      </w:r>
    </w:p>
    <w:p w14:paraId="40CA0AE2" w14:textId="77777777" w:rsidR="00084B26" w:rsidRDefault="00000000">
      <w:pPr>
        <w:spacing w:after="60" w:line="240" w:lineRule="auto"/>
        <w:ind w:firstLine="288"/>
        <w:jc w:val="both"/>
      </w:pPr>
      <w:r>
        <w:t>También existe una frontera de escala. En parcelas pequeñas, la lluvia se aplica de manera uniforme y el flujo lateral es limitado. En un corredor real, el agua procede de calzada, cunetas, cuencas superiores y alcantarillas; los defectos se conectan y el daño puede propagarse. Las pruebas de campo deben incluir zonas de transición y descargas, no solo superficies tratadas. A escala de red, el desempeño debe expresarse en reducción de fallas, cierres, volumen de mantenimiento y costo evitado.</w:t>
      </w:r>
    </w:p>
    <w:p w14:paraId="22105B5E" w14:textId="77777777" w:rsidR="00084B26" w:rsidRDefault="00000000">
      <w:pPr>
        <w:keepNext/>
        <w:spacing w:before="120" w:after="60" w:line="240" w:lineRule="auto"/>
      </w:pPr>
      <w:r>
        <w:rPr>
          <w:b/>
          <w:sz w:val="24"/>
        </w:rPr>
        <w:t>4.2 MANTENIMIENTO COMO PARTE DEL DISEÑO</w:t>
      </w:r>
    </w:p>
    <w:p w14:paraId="688DE1C3" w14:textId="77777777" w:rsidR="00084B26" w:rsidRDefault="00000000">
      <w:pPr>
        <w:spacing w:after="60" w:line="240" w:lineRule="auto"/>
        <w:ind w:firstLine="288"/>
        <w:jc w:val="both"/>
      </w:pPr>
      <w:r>
        <w:t>El mantenimiento no es una actividad posterior, sino un parámetro de diseño. La selección de una técnica debe responder a quién la inspeccionará, con qué acceso, en qué estación y con qué capacidad de reposición. Una solución que exige riego intensivo puede ser inviable en un corredor remoto; una especie de crecimiento agresivo puede aumentar poda y obstrucción; un sistema de estacas puede requerir material que no está disponible después de una tormenta regional. Estas condiciones deben evaluarse antes de licitar.</w:t>
      </w:r>
    </w:p>
    <w:p w14:paraId="261AF405" w14:textId="77777777" w:rsidR="00084B26" w:rsidRDefault="00000000">
      <w:pPr>
        <w:spacing w:after="60" w:line="240" w:lineRule="auto"/>
        <w:ind w:firstLine="288"/>
        <w:jc w:val="both"/>
      </w:pPr>
      <w:r>
        <w:t>Se propone un mantenimiento basado en fases y umbrales. Durante establecimiento, el umbral puede ser supervivencia o cobertura mínima y ausencia de erosión mayor que una profundidad definida. En fase madura, el umbral se desplaza a continuidad de drenaje, pérdida localizada de cobertura, deformación y obstrucciones. Después de una tormenta, se activan inspecciones extraordinarias según intensidad, humedad antecedente y criticidad. Este enfoque concentra recursos donde la probabilidad y consecuencia son mayores.</w:t>
      </w:r>
    </w:p>
    <w:p w14:paraId="73103928" w14:textId="77777777" w:rsidR="00084B26" w:rsidRDefault="00000000">
      <w:pPr>
        <w:spacing w:after="60" w:line="240" w:lineRule="auto"/>
        <w:ind w:firstLine="288"/>
        <w:jc w:val="both"/>
      </w:pPr>
      <w:r>
        <w:t>La contratación debe reflejar esta lógica. Un periodo de garantía que abarque al menos una estación lluviosa permite verificar establecimiento. Los pagos pueden asociarse a hitos de cobertura, supervivencia, drenaje y ausencia de erosión, no solo a cantidades instaladas. El expediente de obra debe incluir mapa de especies, fecha de instalación, origen del material, detalles de drenaje y plan de inspección. Sin esta trazabilidad, la reparación se vuelve reactiva y se pierde aprendizaje.</w:t>
      </w:r>
    </w:p>
    <w:p w14:paraId="506DAF76" w14:textId="77777777" w:rsidR="00084B26" w:rsidRDefault="00000000">
      <w:pPr>
        <w:keepNext/>
        <w:spacing w:before="120" w:after="60" w:line="240" w:lineRule="auto"/>
      </w:pPr>
      <w:r>
        <w:rPr>
          <w:b/>
          <w:sz w:val="24"/>
        </w:rPr>
        <w:t>4.3 ESCALABILIDAD Y GOBERNANZA</w:t>
      </w:r>
    </w:p>
    <w:p w14:paraId="1AF12C7E" w14:textId="77777777" w:rsidR="00084B26" w:rsidRDefault="00000000">
      <w:pPr>
        <w:spacing w:after="60" w:line="240" w:lineRule="auto"/>
        <w:ind w:firstLine="288"/>
        <w:jc w:val="both"/>
      </w:pPr>
      <w:r>
        <w:t xml:space="preserve">La escalabilidad técnica depende de modularidad. Una agencia puede desarrollar fichas para erosión laminar, surcos, fallas someras, rezume y pérdida de pie, con </w:t>
      </w:r>
      <w:r>
        <w:lastRenderedPageBreak/>
        <w:t xml:space="preserve">variantes por zona climática. Cada ficha define investigación mínima, solución viva, complemento inerte, control de calidad y mantenimiento. </w:t>
      </w:r>
      <w:proofErr w:type="gramStart"/>
      <w:r>
        <w:t>La modularidad</w:t>
      </w:r>
      <w:proofErr w:type="gramEnd"/>
      <w:r>
        <w:t xml:space="preserve"> reduce tiempo de diseño sin eliminar el juicio profesional. Los casos que exceden los límites se remiten a análisis especializado.</w:t>
      </w:r>
    </w:p>
    <w:p w14:paraId="3144A375" w14:textId="77777777" w:rsidR="00084B26" w:rsidRDefault="00000000">
      <w:pPr>
        <w:spacing w:after="60" w:line="240" w:lineRule="auto"/>
        <w:ind w:firstLine="288"/>
        <w:jc w:val="both"/>
      </w:pPr>
      <w:r>
        <w:t>La escalabilidad institucional requiere coordinación entre geotecnia, drenaje, ambiente y conservación. Con frecuencia, la revegetación se contrata como acabado paisajístico separado del diseño hidráulico, lo que fragmenta responsabilidades. La bioingeniería debe figurar en planos, memoria, especificaciones y presupuesto como un sistema funcional. Los indicadores de aceptación deben ser compartidos entre disciplinas. La participación de comunidades y viveros locales puede mejorar suministro y mantenimiento, pero necesita protocolos técnicos y supervisión.</w:t>
      </w:r>
    </w:p>
    <w:p w14:paraId="313F967F" w14:textId="77777777" w:rsidR="00084B26" w:rsidRDefault="00000000">
      <w:pPr>
        <w:spacing w:after="60" w:line="240" w:lineRule="auto"/>
        <w:ind w:firstLine="288"/>
        <w:jc w:val="both"/>
      </w:pPr>
      <w:r>
        <w:t>Para América Latina y el Caribe, la oportunidad es relevante por la combinación de lluvias intensas, redes montañosas, recursos limitados y biodiversidad. Las experiencias centroamericanas muestran que existe conocimiento aplicable, pero falta seguimiento comparable entre países. Un programa regional podría estandarizar fichas de campo, ensayos de raíces, indicadores de supervivencia y costos. La prioridad no es importar una especie o una receta, sino construir una base de evidencia con especies nativas y condiciones de mantenimiento reales.</w:t>
      </w:r>
    </w:p>
    <w:p w14:paraId="6F7D5B8D" w14:textId="77777777" w:rsidR="00084B26" w:rsidRDefault="00000000">
      <w:pPr>
        <w:jc w:val="center"/>
      </w:pPr>
      <w:r>
        <w:rPr>
          <w:rFonts w:ascii="Arial" w:hAnsi="Arial"/>
          <w:noProof/>
        </w:rPr>
        <w:drawing>
          <wp:inline distT="0" distB="0" distL="0" distR="0" wp14:anchorId="5CF19E1B" wp14:editId="3C4B668C">
            <wp:extent cx="5943600" cy="33884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1_BRECHAS_REGULATORIAS.png"/>
                    <pic:cNvPicPr/>
                  </pic:nvPicPr>
                  <pic:blipFill>
                    <a:blip r:embed="rId7"/>
                    <a:stretch>
                      <a:fillRect/>
                    </a:stretch>
                  </pic:blipFill>
                  <pic:spPr>
                    <a:xfrm>
                      <a:off x="0" y="0"/>
                      <a:ext cx="5943600" cy="3388407"/>
                    </a:xfrm>
                    <a:prstGeom prst="rect">
                      <a:avLst/>
                    </a:prstGeom>
                  </pic:spPr>
                </pic:pic>
              </a:graphicData>
            </a:graphic>
          </wp:inline>
        </w:drawing>
      </w:r>
    </w:p>
    <w:p w14:paraId="372E3320" w14:textId="77777777" w:rsidR="00084B26" w:rsidRDefault="00000000">
      <w:pPr>
        <w:jc w:val="center"/>
      </w:pPr>
      <w:r>
        <w:rPr>
          <w:rFonts w:ascii="Arial" w:hAnsi="Arial"/>
          <w:b/>
          <w:sz w:val="18"/>
        </w:rPr>
        <w:t>Figura 1. Brechas regulatorias y de implementación identificadas para escalar soluciones de bioingeniería en taludes carreteros.</w:t>
      </w:r>
    </w:p>
    <w:p w14:paraId="026C12B1" w14:textId="77777777" w:rsidR="00084B26" w:rsidRDefault="00000000">
      <w:pPr>
        <w:jc w:val="center"/>
      </w:pPr>
      <w:r>
        <w:rPr>
          <w:rFonts w:ascii="Arial" w:hAnsi="Arial"/>
          <w:i/>
          <w:sz w:val="16"/>
        </w:rPr>
        <w:t>Fuente: elaboración propia a partir de la síntesis cualitativa del corpus incluido.</w:t>
      </w:r>
    </w:p>
    <w:p w14:paraId="0715CF65" w14:textId="77777777" w:rsidR="00084B26" w:rsidRDefault="00000000">
      <w:pPr>
        <w:keepNext/>
        <w:spacing w:before="120" w:after="60" w:line="240" w:lineRule="auto"/>
      </w:pPr>
      <w:r>
        <w:rPr>
          <w:b/>
          <w:sz w:val="24"/>
        </w:rPr>
        <w:t>4.4 VACÍOS DE EVIDENCIA Y AGENDA DE INVESTIGACIÓN</w:t>
      </w:r>
    </w:p>
    <w:p w14:paraId="6AC206EB" w14:textId="77777777" w:rsidR="00084B26" w:rsidRDefault="00000000">
      <w:pPr>
        <w:spacing w:after="60" w:line="240" w:lineRule="auto"/>
        <w:ind w:firstLine="288"/>
        <w:jc w:val="both"/>
      </w:pPr>
      <w:r>
        <w:t>El primer vacío es la duración. Muchos estudios cubren meses o pocos años, mientras que una carretera opera durante décadas. Se requieren series que documenten madurez, competencia, mortalidad, degradación de materiales, eventos extremos y reparaciones. El segundo vacío es la comparabilidad: las publicaciones usan métricas distintas y rara vez reportan geometría, intensidad de lluvia y mantenimiento con suficiente detalle. Un conjunto mínimo de datos facilitaría metaanálisis futuros.</w:t>
      </w:r>
    </w:p>
    <w:p w14:paraId="3090632B" w14:textId="77777777" w:rsidR="00084B26" w:rsidRDefault="00000000">
      <w:pPr>
        <w:spacing w:after="60" w:line="240" w:lineRule="auto"/>
        <w:ind w:firstLine="288"/>
        <w:jc w:val="both"/>
      </w:pPr>
      <w:r>
        <w:lastRenderedPageBreak/>
        <w:t>El tercer vacío es el desempeño durante tormentas realmente extremas. Las lluvias simuladas permiten control, pero suelen representar parcelas y duraciones limitadas. Los sitios instrumentados deben registrar lluvia, humedad, succión, presión, escorrentía, sedimento y desplazamiento, junto con condición de drenajes. El cuarto vacío es la interacción entre clima futuro y selección vegetal. Cambios en intensidad, sequías intermedias y temperatura pueden alterar supervivencia y recuperación de succión.</w:t>
      </w:r>
    </w:p>
    <w:p w14:paraId="2E393234" w14:textId="77777777" w:rsidR="00084B26" w:rsidRDefault="00000000">
      <w:pPr>
        <w:spacing w:after="60" w:line="240" w:lineRule="auto"/>
        <w:ind w:firstLine="288"/>
        <w:jc w:val="both"/>
      </w:pPr>
      <w:r>
        <w:t>El quinto vacío es económico. Son escasas las comparaciones de costo de ciclo de vida que incluyan viveros, riego, inspección, poda, reposición y cierres evitados. El sexto es operacional: se conoce poco sobre cómo incorporar estas técnicas en sistemas de gestión de activos, contratos por desempeño y respuesta postevento. La investigación debe integrar ingeniería, ecología y gestión pública, porque la falla más frecuente puede originarse en una interfaz institucional y no en el material vegetal.</w:t>
      </w:r>
    </w:p>
    <w:p w14:paraId="6347B69A" w14:textId="77777777" w:rsidR="00084B26" w:rsidRDefault="00000000">
      <w:pPr>
        <w:spacing w:after="60" w:line="240" w:lineRule="auto"/>
        <w:ind w:firstLine="288"/>
        <w:jc w:val="both"/>
      </w:pPr>
      <w:r>
        <w:t>Una agenda prioritaria debería desarrollar: ensayos regionales de especies; modelos hidro-mecánicos calibrados con campo; factores de reducción por variabilidad y envejecimiento; protocolos de inspección posttormenta; indicadores de servicio vial; y bases de datos abiertas. La validación debe comparar soluciones verdes, grises e híbridas bajo el mismo mecanismo y nivel de riesgo. Solo así será posible pasar de casos demostrativos a especificaciones confiables para redes.</w:t>
      </w:r>
    </w:p>
    <w:p w14:paraId="5135173F" w14:textId="77777777" w:rsidR="00084B26" w:rsidRDefault="00000000">
      <w:pPr>
        <w:keepNext/>
        <w:spacing w:before="120" w:after="60" w:line="240" w:lineRule="auto"/>
      </w:pPr>
      <w:r>
        <w:rPr>
          <w:b/>
          <w:sz w:val="24"/>
        </w:rPr>
        <w:t>4.5 ACTUALIZACIÓN DE LA EVIDENCIA 2022-2026</w:t>
      </w:r>
    </w:p>
    <w:p w14:paraId="7CC9BBE7" w14:textId="77777777" w:rsidR="00084B26" w:rsidRDefault="00000000">
      <w:pPr>
        <w:spacing w:after="60" w:line="240" w:lineRule="auto"/>
        <w:ind w:firstLine="288"/>
        <w:jc w:val="both"/>
      </w:pPr>
      <w:r>
        <w:rPr>
          <w:rFonts w:ascii="Arial" w:hAnsi="Arial"/>
        </w:rPr>
        <w:t>La literatura reciente confirma que la respuesta de un talud durante lluvias intensas depende de la interacción entre infiltración transitoria, pérdida de succión, presión intersticial, geometría y variabilidad espacial del suelo. Los modelos acoplados y probabilistas muestran que no basta una intensidad de diseño aislada: importan el patrón temporal de lluvia, la humedad antecedente y la incertidumbre de los parámetros (Nazrien Ng et al., 2022; Feng et al., 2022; Gu et al., 2023; Zhuang et al., 2022; Chaithong, 2023; Yang et al., 2022; Pan et al., 2023; Liu y Wang, 2023; Jiang et al., 2023). Esta convergencia respalda un diseño por escenarios y la instrumentación de humedad, presión y desplazamiento en taludes críticos.</w:t>
      </w:r>
    </w:p>
    <w:p w14:paraId="623A7BF6" w14:textId="77777777" w:rsidR="00084B26" w:rsidRDefault="00000000">
      <w:pPr>
        <w:spacing w:after="60" w:line="240" w:lineRule="auto"/>
        <w:ind w:firstLine="288"/>
        <w:jc w:val="both"/>
      </w:pPr>
      <w:r>
        <w:rPr>
          <w:rFonts w:ascii="Arial" w:hAnsi="Arial"/>
        </w:rPr>
        <w:t>Los experimentos publicados desde 2023 amplían la evidencia sobre control superficial. La vegetación, los componentes radiculares y las cubiertas híbridas modifican velocidad de flujo, escorrentía, erosión y resistencia de la capa somera, pero la magnitud depende de la cobertura, la pendiente, la intensidad de lluvia y el contacto entre material y sustrato (Wen et al., 2023; Xia et al., 2023; Wei et al., 2024; Cheng et al., 2024; Gu et al., 2024; Zhang et al., 2024; Xu et al., 2024; Cai et al., 2024; DiBiagio et al., 2024). Los resultados también muestran que la conectividad hidráulica de caminos y descargas puede anular beneficios locales, por lo que el control de rutas de flujo debe preceder a la revegetación (Xu et al., 2024).</w:t>
      </w:r>
    </w:p>
    <w:p w14:paraId="78B26DB2" w14:textId="77777777" w:rsidR="00084B26" w:rsidRDefault="00000000">
      <w:pPr>
        <w:spacing w:after="60" w:line="240" w:lineRule="auto"/>
        <w:ind w:firstLine="288"/>
        <w:jc w:val="both"/>
      </w:pPr>
      <w:r>
        <w:rPr>
          <w:rFonts w:ascii="Arial" w:hAnsi="Arial"/>
        </w:rPr>
        <w:t>La modelación reciente de laderas vegetadas insiste en representar conjuntamente refuerzo basal y lateral, peso de la vegetación, evapotranspiración, intercepción y flujo preferencial (DiBiagio et al., 2024). A escala microscópica, la morfología de las raíces condiciona la redistribución de esfuerzos durante lluvia intensa (Song et al., 2024). En consecuencia, una cohesión radicular constante y uniforme puede sobreestimar la seguridad cuando la superficie de falla queda bajo la profundidad efectiva de raíces o cuando el sistema todavía está en establecimiento.</w:t>
      </w:r>
    </w:p>
    <w:p w14:paraId="702743FE" w14:textId="77777777" w:rsidR="00084B26" w:rsidRDefault="00000000">
      <w:pPr>
        <w:spacing w:after="60" w:line="240" w:lineRule="auto"/>
        <w:ind w:firstLine="288"/>
        <w:jc w:val="both"/>
      </w:pPr>
      <w:r>
        <w:rPr>
          <w:rFonts w:ascii="Arial" w:hAnsi="Arial"/>
        </w:rPr>
        <w:t>Los estudios de 2025-2026 fortalecen tres decisiones de diseño. Primero, la rugosidad, cobertura vegetal, geoceldas y pasto pueden reducir erosión bajo combinaciones específicas de pendiente y lluvia (S. Zhang y Zhang, 2025; N. Zhang et al., 2025; Zhao et al., 2025; Z. He et al., 2025; Chen et al., 2025; Chuenjaidee et al., 2025). Segundo, el seguimiento de una restauración con bioingeniería demuestra que la estabilidad evoluciona con el tiempo y debe verificarse más allá de la recepción de obra (Preti et al., 2025). Tercero, revisiones y ensayos recientes sobre tecnologías biológicas y biominerales favorecen soluciones híbridas, pero advierten falta de protocolos normalizados, validación de largo plazo y evaluación económica a escala real (Albuja-Sánchez et al., 2025; G. Tao et al., 2025; L. Feng et al., 2025; L. Dong et al., 2025; Akter et al., 2026; Ran et al., 2026; Dudekula et al., 2026).</w:t>
      </w:r>
    </w:p>
    <w:p w14:paraId="2D684AB4" w14:textId="77777777" w:rsidR="00084B26" w:rsidRDefault="00000000">
      <w:pPr>
        <w:spacing w:after="60" w:line="240" w:lineRule="auto"/>
        <w:ind w:firstLine="288"/>
        <w:jc w:val="both"/>
      </w:pPr>
      <w:r>
        <w:lastRenderedPageBreak/>
        <w:t>En conjunto, la actualización no justifica sustituir drenaje, protección del pie o refuerzo geotécnico en taludes de alta consecuencia. Sí justifica incorporar medidas vivas como componentes funcionales con especificaciones de establecimiento, indicadores de desempeño y mantenimiento postormenta. La transferibilidad a corredores tropicales requiere especies disponibles localmente, verificación de supervivencia y límites explícitos frente a fallas profundas.</w:t>
      </w:r>
    </w:p>
    <w:p w14:paraId="1506B6BB" w14:textId="77777777" w:rsidR="00084B26" w:rsidRDefault="00000000">
      <w:pPr>
        <w:keepNext/>
        <w:spacing w:before="160" w:after="60" w:line="240" w:lineRule="auto"/>
      </w:pPr>
      <w:r>
        <w:rPr>
          <w:b/>
          <w:sz w:val="24"/>
        </w:rPr>
        <w:t>5. CONCLUSIONES</w:t>
      </w:r>
    </w:p>
    <w:p w14:paraId="3D9CE785" w14:textId="77777777" w:rsidR="00084B26" w:rsidRDefault="00000000">
      <w:pPr>
        <w:spacing w:after="60" w:line="240" w:lineRule="auto"/>
        <w:ind w:firstLine="288"/>
        <w:jc w:val="both"/>
      </w:pPr>
      <w:r>
        <w:t>La bioingeniería y las soluciones basadas en la naturaleza ofrecen una respuesta técnicamente válida para erosión y deslizamientos someros en taludes carreteros, siempre que el mecanismo de falla, el régimen de agua y la profundidad radicular sean compatibles. Su aporte combina protección superficial, rugosidad, refuerzo radicular, recuperación de succión y restauración ecológica. La evidencia es más sólida para reducción de erosión que para estabilidad profunda. Las lluvias extremas revelan los límites de las soluciones exclusivamente vegetales. Flujo concentrado, drenajes obstruidos, saturación prolongada, socavación del pie y superficies de falla bajo la zona radicular requieren medidas de ingeniería. La configuración más robusta es híbrida: drenaje y control geométrico proporcionan seguridad inmediata, mientras que la vegetación reduce degradación, aporta refuerzo progresivo y favorece recuperación. El mantenimiento determina la confiabilidad. Establecimiento, reposición, reparación de surcos, limpieza de drenajes, poda, control de invasoras e inspección posttormenta deben formar parte de memoria, especificaciones y presupuesto. La recepción basada solo en cantidades instaladas es insuficiente; deben verificarse funciones y umbrales de desempeño durante al menos una temporada crítica. La aplicación a escala de red exige clasificación de taludes, módulos de intervención, suministro regional de material vegetal, capacitación, contratos por desempeño y registros georreferenciados. La estandarización debe definir funciones y criterios de aceptación, dejando que especies y detalles se adapten a zonas bioclimáticas y condiciones de suelo. Para regiones tropicales, la prioridad es generar evidencia local de largo plazo y vincularla con gestión de activos. La bioingeniería no debe tratarse como decoración ni como sustituto universal de la geotecnia, sino como un componente diseñado del sistema de estabilidad y drenaje. Bajo ese enfoque, puede reducir erosión, aumentar resiliencia y ampliar el portafolio de soluciones sostenibles para corredores viales.</w:t>
      </w:r>
    </w:p>
    <w:p w14:paraId="476AAD03" w14:textId="77777777" w:rsidR="00084B26" w:rsidRDefault="00000000">
      <w:pPr>
        <w:keepNext/>
        <w:spacing w:before="160" w:after="60" w:line="240" w:lineRule="auto"/>
      </w:pPr>
      <w:r>
        <w:rPr>
          <w:b/>
          <w:sz w:val="24"/>
        </w:rPr>
        <w:t>DECLARACIONES EDITORIALES</w:t>
      </w:r>
    </w:p>
    <w:p w14:paraId="627C21CE" w14:textId="77777777" w:rsidR="00084B26" w:rsidRDefault="00000000">
      <w:pPr>
        <w:spacing w:after="60"/>
        <w:jc w:val="both"/>
      </w:pPr>
      <w:r>
        <w:rPr>
          <w:b/>
          <w:sz w:val="19"/>
        </w:rPr>
        <w:t xml:space="preserve">Contribución del autor: </w:t>
      </w:r>
      <w:r>
        <w:rPr>
          <w:sz w:val="19"/>
        </w:rPr>
        <w:t>Gabriel Jesús Montúfar Chiriboga: conceptualización; metodología; investigación; curación de datos; análisis formal; visualización; preparación del borrador original; redacción, revisión y edición; supervisión y administración del proyecto. El autor ha leído y aprobado la versión sometida.</w:t>
      </w:r>
    </w:p>
    <w:p w14:paraId="4F29D43F" w14:textId="77777777" w:rsidR="00084B26" w:rsidRDefault="00000000">
      <w:pPr>
        <w:spacing w:after="60"/>
        <w:jc w:val="both"/>
      </w:pPr>
      <w:r>
        <w:rPr>
          <w:b/>
          <w:sz w:val="19"/>
        </w:rPr>
        <w:t xml:space="preserve">Financiamiento: </w:t>
      </w:r>
      <w:r>
        <w:rPr>
          <w:sz w:val="19"/>
        </w:rPr>
        <w:t>Esta investigación no recibió financiamiento externo.</w:t>
      </w:r>
    </w:p>
    <w:p w14:paraId="12C04AC2" w14:textId="77777777" w:rsidR="00084B26" w:rsidRDefault="00000000">
      <w:pPr>
        <w:spacing w:after="60"/>
        <w:jc w:val="both"/>
      </w:pPr>
      <w:r>
        <w:rPr>
          <w:b/>
          <w:sz w:val="19"/>
        </w:rPr>
        <w:t xml:space="preserve">Declaración del Comité de Ética: </w:t>
      </w:r>
      <w:r>
        <w:rPr>
          <w:sz w:val="19"/>
        </w:rPr>
        <w:t>No aplicable; la revisión no involucró seres humanos ni animales.</w:t>
      </w:r>
    </w:p>
    <w:p w14:paraId="7600AE18" w14:textId="77777777" w:rsidR="00084B26" w:rsidRDefault="00000000">
      <w:pPr>
        <w:spacing w:after="60"/>
        <w:jc w:val="both"/>
      </w:pPr>
      <w:r>
        <w:rPr>
          <w:b/>
          <w:sz w:val="19"/>
        </w:rPr>
        <w:t xml:space="preserve">Consentimiento informado: </w:t>
      </w:r>
      <w:r>
        <w:rPr>
          <w:sz w:val="19"/>
        </w:rPr>
        <w:t>No aplicable.</w:t>
      </w:r>
    </w:p>
    <w:p w14:paraId="1323C2B6" w14:textId="77777777" w:rsidR="00084B26" w:rsidRDefault="00000000">
      <w:pPr>
        <w:spacing w:after="60"/>
        <w:jc w:val="both"/>
      </w:pPr>
      <w:r>
        <w:rPr>
          <w:rFonts w:ascii="Arial" w:hAnsi="Arial"/>
        </w:rPr>
        <w:t>Disponibilidad de datos: No se generaron nuevos conjuntos de datos. Las 63 fuentes sintetizadas y sus identificadores se presentan en la lista de referencias. La matriz de verificación bibliográfica utilizada en la corrección editorial se entrega como archivo complementario.</w:t>
      </w:r>
    </w:p>
    <w:p w14:paraId="5DF17A7C" w14:textId="77777777" w:rsidR="00084B26" w:rsidRDefault="00000000">
      <w:pPr>
        <w:spacing w:after="60"/>
        <w:jc w:val="both"/>
      </w:pPr>
      <w:r>
        <w:rPr>
          <w:rFonts w:ascii="Arial" w:hAnsi="Arial"/>
        </w:rPr>
        <w:t>Agradecimientos y uso de inteligencia artificial: Durante la adaptación editorial, verificación de metadatos DOI, reorganización del documento y edición lingüística, el autor utilizó OpenAI Codex, versión disponible en septiembre de 2026. La herramienta no se empleó para generar datos ni resultados experimentales. El autor verificó las fuentes, revisó cada cambio y asume plena responsabilidad por el contenido.</w:t>
      </w:r>
    </w:p>
    <w:p w14:paraId="13F4D3FF" w14:textId="77777777" w:rsidR="00084B26" w:rsidRDefault="00000000">
      <w:pPr>
        <w:spacing w:after="60"/>
        <w:jc w:val="both"/>
      </w:pPr>
      <w:r>
        <w:rPr>
          <w:b/>
          <w:sz w:val="19"/>
        </w:rPr>
        <w:lastRenderedPageBreak/>
        <w:t xml:space="preserve">Conflictos de intereses: </w:t>
      </w:r>
      <w:r>
        <w:rPr>
          <w:sz w:val="19"/>
        </w:rPr>
        <w:t>El autor declara no tener conflictos de intereses.</w:t>
      </w:r>
    </w:p>
    <w:p w14:paraId="32759529" w14:textId="77777777" w:rsidR="00084B26" w:rsidRPr="009934C9" w:rsidRDefault="00000000">
      <w:pPr>
        <w:keepNext/>
        <w:spacing w:before="160" w:after="60" w:line="240" w:lineRule="auto"/>
        <w:rPr>
          <w:lang w:val="en-US"/>
        </w:rPr>
      </w:pPr>
      <w:r w:rsidRPr="009934C9">
        <w:rPr>
          <w:b/>
          <w:sz w:val="24"/>
          <w:lang w:val="en-US"/>
        </w:rPr>
        <w:t>REFERENCIAS</w:t>
      </w:r>
    </w:p>
    <w:p w14:paraId="63E81039" w14:textId="77777777" w:rsidR="00084B26" w:rsidRPr="009934C9" w:rsidRDefault="00000000">
      <w:pPr>
        <w:spacing w:after="60" w:line="240" w:lineRule="auto"/>
        <w:ind w:left="369" w:hanging="369"/>
        <w:jc w:val="both"/>
        <w:rPr>
          <w:lang w:val="en-US"/>
        </w:rPr>
      </w:pPr>
      <w:r w:rsidRPr="009934C9">
        <w:rPr>
          <w:rFonts w:ascii="Arial" w:hAnsi="Arial"/>
          <w:lang w:val="en-US"/>
        </w:rPr>
        <w:t>Akter, T.; Acharya, S.; Al-Hossain, S.J. y Robbani, G.K. (</w:t>
      </w:r>
      <w:proofErr w:type="gramStart"/>
      <w:r w:rsidRPr="009934C9">
        <w:rPr>
          <w:rFonts w:ascii="Arial" w:hAnsi="Arial"/>
          <w:lang w:val="en-US"/>
        </w:rPr>
        <w:t>2026) ‘</w:t>
      </w:r>
      <w:proofErr w:type="gramEnd"/>
      <w:r w:rsidRPr="009934C9">
        <w:rPr>
          <w:rFonts w:ascii="Arial" w:hAnsi="Arial"/>
          <w:lang w:val="en-US"/>
        </w:rPr>
        <w:t>Vetiver grass for road slope protection through soil erosion and runoff reduction in a haor area of the Sunamganj district’, Research in Agricultural Engineering. https://doi.org/10.17221/124/2025-rae</w:t>
      </w:r>
    </w:p>
    <w:p w14:paraId="58C33BBD" w14:textId="77777777" w:rsidR="00084B26" w:rsidRPr="009934C9" w:rsidRDefault="00000000">
      <w:pPr>
        <w:spacing w:after="60" w:line="240" w:lineRule="auto"/>
        <w:ind w:left="369" w:hanging="369"/>
        <w:jc w:val="both"/>
        <w:rPr>
          <w:lang w:val="en-US"/>
        </w:rPr>
      </w:pPr>
      <w:r w:rsidRPr="009934C9">
        <w:rPr>
          <w:rFonts w:ascii="Arial" w:hAnsi="Arial"/>
          <w:lang w:val="en-US"/>
        </w:rPr>
        <w:t>Albuja-Sánchez, J.; Solano-Vinueza, G. y Damián-</w:t>
      </w:r>
      <w:proofErr w:type="spellStart"/>
      <w:r w:rsidRPr="009934C9">
        <w:rPr>
          <w:rFonts w:ascii="Arial" w:hAnsi="Arial"/>
          <w:lang w:val="en-US"/>
        </w:rPr>
        <w:t>Chalán</w:t>
      </w:r>
      <w:proofErr w:type="spellEnd"/>
      <w:r w:rsidRPr="009934C9">
        <w:rPr>
          <w:rFonts w:ascii="Arial" w:hAnsi="Arial"/>
          <w:lang w:val="en-US"/>
        </w:rPr>
        <w:t>, A. (2025) ‘Bioengineering of soils for ground improvement and stability: A review of nature-based technologies’, Environmental Challenges, 20, art. 101293. https://doi.org/10.1016/j.envc.2025.101293</w:t>
      </w:r>
    </w:p>
    <w:p w14:paraId="54D7A41D" w14:textId="77777777" w:rsidR="00084B26" w:rsidRPr="009934C9" w:rsidRDefault="00000000">
      <w:pPr>
        <w:spacing w:after="60" w:line="240" w:lineRule="auto"/>
        <w:ind w:left="369" w:hanging="369"/>
        <w:jc w:val="both"/>
        <w:rPr>
          <w:lang w:val="en-US"/>
        </w:rPr>
      </w:pPr>
      <w:r>
        <w:rPr>
          <w:rFonts w:ascii="Arial" w:hAnsi="Arial"/>
        </w:rPr>
        <w:t xml:space="preserve">Álvarez-Mozos, J.; Abad, E.; Giménez, R.; Campo, M.A.; Goñi, M.; Arive, M. et al. </w:t>
      </w:r>
      <w:r w:rsidRPr="00032812">
        <w:rPr>
          <w:rFonts w:ascii="Arial" w:hAnsi="Arial"/>
          <w:lang w:val="en-US"/>
        </w:rPr>
        <w:t xml:space="preserve">(2014) ‘Evaluation of erosion control geotextiles on steep slopes. </w:t>
      </w:r>
      <w:r w:rsidRPr="009934C9">
        <w:rPr>
          <w:rFonts w:ascii="Arial" w:hAnsi="Arial"/>
          <w:lang w:val="en-US"/>
        </w:rPr>
        <w:t>Part 1: Effects on runoff and soil loss’, CATENA, 118, pp. 168–178. https://doi.org/10.1016/j.catena.2013.05.018</w:t>
      </w:r>
    </w:p>
    <w:p w14:paraId="6FBFE04C"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Bischetti</w:t>
      </w:r>
      <w:proofErr w:type="spellEnd"/>
      <w:r w:rsidRPr="009934C9">
        <w:rPr>
          <w:rFonts w:ascii="Arial" w:hAnsi="Arial"/>
          <w:lang w:val="en-US"/>
        </w:rPr>
        <w:t>, G.B.; De Cesare, G.; Mickovski, S.B.; Rauch, H.P.; Schwarz, M. y Stangl, R. (</w:t>
      </w:r>
      <w:proofErr w:type="gramStart"/>
      <w:r w:rsidRPr="009934C9">
        <w:rPr>
          <w:rFonts w:ascii="Arial" w:hAnsi="Arial"/>
          <w:lang w:val="en-US"/>
        </w:rPr>
        <w:t>2021) ‘</w:t>
      </w:r>
      <w:proofErr w:type="gramEnd"/>
      <w:r w:rsidRPr="009934C9">
        <w:rPr>
          <w:rFonts w:ascii="Arial" w:hAnsi="Arial"/>
          <w:lang w:val="en-US"/>
        </w:rPr>
        <w:t xml:space="preserve">Design and temporal issues in Soil Bioengineering structures for the </w:t>
      </w:r>
      <w:proofErr w:type="spellStart"/>
      <w:r w:rsidRPr="009934C9">
        <w:rPr>
          <w:rFonts w:ascii="Arial" w:hAnsi="Arial"/>
          <w:lang w:val="en-US"/>
        </w:rPr>
        <w:t>stabilisation</w:t>
      </w:r>
      <w:proofErr w:type="spellEnd"/>
      <w:r w:rsidRPr="009934C9">
        <w:rPr>
          <w:rFonts w:ascii="Arial" w:hAnsi="Arial"/>
          <w:lang w:val="en-US"/>
        </w:rPr>
        <w:t xml:space="preserve"> of shallow soil movements’, Ecological Engineering, 169, art. 106309. https://doi.org/10.1016/j.ecoleng.2021.106309</w:t>
      </w:r>
    </w:p>
    <w:p w14:paraId="2F0CB5CD"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Bochet</w:t>
      </w:r>
      <w:proofErr w:type="spellEnd"/>
      <w:r w:rsidRPr="009934C9">
        <w:rPr>
          <w:rFonts w:ascii="Arial" w:hAnsi="Arial"/>
          <w:lang w:val="en-US"/>
        </w:rPr>
        <w:t>, E. y García‐Fayos, P. (2004) ‘Factors Controlling Vegetation Establishment and Water Erosion on Motorway Slopes in Valencia, Spain’, Restoration Ecology, 12, (2), pp. 166–174. https://doi.org/10.1111/j.1061-2971.2004.0325.x</w:t>
      </w:r>
    </w:p>
    <w:p w14:paraId="15A74C6C"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Bochet</w:t>
      </w:r>
      <w:proofErr w:type="spellEnd"/>
      <w:r w:rsidRPr="009934C9">
        <w:rPr>
          <w:rFonts w:ascii="Arial" w:hAnsi="Arial"/>
          <w:lang w:val="en-US"/>
        </w:rPr>
        <w:t xml:space="preserve">, E.; García‐Fayos, P. y </w:t>
      </w:r>
      <w:proofErr w:type="spellStart"/>
      <w:r w:rsidRPr="009934C9">
        <w:rPr>
          <w:rFonts w:ascii="Arial" w:hAnsi="Arial"/>
          <w:lang w:val="en-US"/>
        </w:rPr>
        <w:t>Tormo</w:t>
      </w:r>
      <w:proofErr w:type="spellEnd"/>
      <w:r w:rsidRPr="009934C9">
        <w:rPr>
          <w:rFonts w:ascii="Arial" w:hAnsi="Arial"/>
          <w:lang w:val="en-US"/>
        </w:rPr>
        <w:t>, J. (2007) ‘Road Slope Revegetation in Semiarid Mediterranean Environments. Part I: Seed Dispersal and Spontaneous Colonization’, Restoration Ecology, 15, (1), pp. 88–96. https://doi.org/10.1111/j.1526-100x.2006.00193.x</w:t>
      </w:r>
    </w:p>
    <w:p w14:paraId="4E2B81A2" w14:textId="77777777" w:rsidR="00084B26" w:rsidRPr="009934C9" w:rsidRDefault="00000000">
      <w:pPr>
        <w:spacing w:after="60" w:line="240" w:lineRule="auto"/>
        <w:ind w:left="369" w:hanging="369"/>
        <w:jc w:val="both"/>
        <w:rPr>
          <w:lang w:val="en-US"/>
        </w:rPr>
      </w:pPr>
      <w:r w:rsidRPr="009934C9">
        <w:rPr>
          <w:rFonts w:ascii="Arial" w:hAnsi="Arial"/>
          <w:lang w:val="en-US"/>
        </w:rPr>
        <w:t>Bordoloi, S. y Ng, C.W.W. (</w:t>
      </w:r>
      <w:proofErr w:type="gramStart"/>
      <w:r w:rsidRPr="009934C9">
        <w:rPr>
          <w:rFonts w:ascii="Arial" w:hAnsi="Arial"/>
          <w:lang w:val="en-US"/>
        </w:rPr>
        <w:t>2020) ‘</w:t>
      </w:r>
      <w:proofErr w:type="gramEnd"/>
      <w:r w:rsidRPr="009934C9">
        <w:rPr>
          <w:rFonts w:ascii="Arial" w:hAnsi="Arial"/>
          <w:lang w:val="en-US"/>
        </w:rPr>
        <w:t>The effects of vegetation traits and their stability functions in bio-engineered slopes: A perspective review’, Engineering Geology, 275, art. 105742. https://doi.org/10.1016/j.enggeo.2020.105742</w:t>
      </w:r>
    </w:p>
    <w:p w14:paraId="7618F8BE" w14:textId="77777777" w:rsidR="00084B26" w:rsidRPr="009934C9" w:rsidRDefault="00000000">
      <w:pPr>
        <w:spacing w:after="60" w:line="240" w:lineRule="auto"/>
        <w:ind w:left="369" w:hanging="369"/>
        <w:jc w:val="both"/>
        <w:rPr>
          <w:lang w:val="en-US"/>
        </w:rPr>
      </w:pPr>
      <w:r w:rsidRPr="009934C9">
        <w:rPr>
          <w:rFonts w:ascii="Arial" w:hAnsi="Arial"/>
          <w:lang w:val="en-US"/>
        </w:rPr>
        <w:t>Cai, Z.; Xie, J.; Chen, Y.; Yang, Y.; Wang, C. y Wang, J. (2024) ‘Rigid Vegetation Affects Slope Flow Velocity’, Water, 16, (16), art. 2240. https://doi.org/10.3390/w16162240</w:t>
      </w:r>
    </w:p>
    <w:p w14:paraId="370B8982" w14:textId="77777777" w:rsidR="00084B26" w:rsidRPr="009934C9" w:rsidRDefault="00000000">
      <w:pPr>
        <w:spacing w:after="60" w:line="240" w:lineRule="auto"/>
        <w:ind w:left="369" w:hanging="369"/>
        <w:jc w:val="both"/>
        <w:rPr>
          <w:lang w:val="en-US"/>
        </w:rPr>
      </w:pPr>
      <w:r w:rsidRPr="009934C9">
        <w:rPr>
          <w:rFonts w:ascii="Arial" w:hAnsi="Arial"/>
          <w:lang w:val="en-US"/>
        </w:rPr>
        <w:t>Chaithong, T. (2023) ‘Influence of changes in extreme daily rainfall distribution on the stability of residual soil slopes’, Big Earth Data, 7, (1), pp. 101–125. https://doi.org/10.1080/20964471.2022.2046306</w:t>
      </w:r>
    </w:p>
    <w:p w14:paraId="50A71D10"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Chen, Y.; Hazarika, H. y </w:t>
      </w:r>
      <w:proofErr w:type="spellStart"/>
      <w:r w:rsidRPr="009934C9">
        <w:rPr>
          <w:rFonts w:ascii="Arial" w:hAnsi="Arial"/>
          <w:lang w:val="en-US"/>
        </w:rPr>
        <w:t>Marchelina</w:t>
      </w:r>
      <w:proofErr w:type="spellEnd"/>
      <w:r w:rsidRPr="009934C9">
        <w:rPr>
          <w:rFonts w:ascii="Arial" w:hAnsi="Arial"/>
          <w:lang w:val="en-US"/>
        </w:rPr>
        <w:t>, N. (</w:t>
      </w:r>
      <w:proofErr w:type="gramStart"/>
      <w:r w:rsidRPr="009934C9">
        <w:rPr>
          <w:rFonts w:ascii="Arial" w:hAnsi="Arial"/>
          <w:lang w:val="en-US"/>
        </w:rPr>
        <w:t>2025) ‘</w:t>
      </w:r>
      <w:proofErr w:type="gramEnd"/>
      <w:r w:rsidRPr="009934C9">
        <w:rPr>
          <w:rFonts w:ascii="Arial" w:hAnsi="Arial"/>
          <w:lang w:val="en-US"/>
        </w:rPr>
        <w:t>Effect of Bio-Cementation Level and Rainfall Intensity on Surface Erosion Resistance of Biotreated Slope Using PEICP Method’, Materials, 18, (7), art. 1662. https://doi.org/10.3390/ma18071662</w:t>
      </w:r>
    </w:p>
    <w:p w14:paraId="3612CAAD" w14:textId="77777777" w:rsidR="00084B26" w:rsidRPr="009934C9" w:rsidRDefault="00000000">
      <w:pPr>
        <w:spacing w:after="60" w:line="240" w:lineRule="auto"/>
        <w:ind w:left="369" w:hanging="369"/>
        <w:jc w:val="both"/>
        <w:rPr>
          <w:lang w:val="en-US"/>
        </w:rPr>
      </w:pPr>
      <w:r w:rsidRPr="009934C9">
        <w:rPr>
          <w:rFonts w:ascii="Arial" w:hAnsi="Arial"/>
          <w:lang w:val="en-US"/>
        </w:rPr>
        <w:t>Cheng, Q.; Hou, K.; Sun, H. y Niu, X. (</w:t>
      </w:r>
      <w:proofErr w:type="gramStart"/>
      <w:r w:rsidRPr="009934C9">
        <w:rPr>
          <w:rFonts w:ascii="Arial" w:hAnsi="Arial"/>
          <w:lang w:val="en-US"/>
        </w:rPr>
        <w:t>2024) ‘</w:t>
      </w:r>
      <w:proofErr w:type="gramEnd"/>
      <w:r w:rsidRPr="009934C9">
        <w:rPr>
          <w:rFonts w:ascii="Arial" w:hAnsi="Arial"/>
          <w:lang w:val="en-US"/>
        </w:rPr>
        <w:t>Numerical Simulation of Rainfall-Induced Erosion on Infiltration and Slope Stability’, Water, 16, (11), art. 1517. https://doi.org/10.3390/w16111517</w:t>
      </w:r>
    </w:p>
    <w:p w14:paraId="09F61CDA"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Chuenjaidee</w:t>
      </w:r>
      <w:proofErr w:type="spellEnd"/>
      <w:r w:rsidRPr="009934C9">
        <w:rPr>
          <w:rFonts w:ascii="Arial" w:hAnsi="Arial"/>
          <w:lang w:val="en-US"/>
        </w:rPr>
        <w:t xml:space="preserve">, S.; </w:t>
      </w:r>
      <w:proofErr w:type="spellStart"/>
      <w:r w:rsidRPr="009934C9">
        <w:rPr>
          <w:rFonts w:ascii="Arial" w:hAnsi="Arial"/>
          <w:lang w:val="en-US"/>
        </w:rPr>
        <w:t>Voottipruex</w:t>
      </w:r>
      <w:proofErr w:type="spellEnd"/>
      <w:r w:rsidRPr="009934C9">
        <w:rPr>
          <w:rFonts w:ascii="Arial" w:hAnsi="Arial"/>
          <w:lang w:val="en-US"/>
        </w:rPr>
        <w:t xml:space="preserve">, P.; </w:t>
      </w:r>
      <w:proofErr w:type="spellStart"/>
      <w:r w:rsidRPr="009934C9">
        <w:rPr>
          <w:rFonts w:ascii="Arial" w:hAnsi="Arial"/>
          <w:lang w:val="en-US"/>
        </w:rPr>
        <w:t>Jongpradist</w:t>
      </w:r>
      <w:proofErr w:type="spellEnd"/>
      <w:r w:rsidRPr="009934C9">
        <w:rPr>
          <w:rFonts w:ascii="Arial" w:hAnsi="Arial"/>
          <w:lang w:val="en-US"/>
        </w:rPr>
        <w:t xml:space="preserve">, P.; </w:t>
      </w:r>
      <w:proofErr w:type="spellStart"/>
      <w:r w:rsidRPr="009934C9">
        <w:rPr>
          <w:rFonts w:ascii="Arial" w:hAnsi="Arial"/>
          <w:lang w:val="en-US"/>
        </w:rPr>
        <w:t>Kalayasri</w:t>
      </w:r>
      <w:proofErr w:type="spellEnd"/>
      <w:r w:rsidRPr="009934C9">
        <w:rPr>
          <w:rFonts w:ascii="Arial" w:hAnsi="Arial"/>
          <w:lang w:val="en-US"/>
        </w:rPr>
        <w:t xml:space="preserve">, P. y </w:t>
      </w:r>
      <w:proofErr w:type="spellStart"/>
      <w:r w:rsidRPr="009934C9">
        <w:rPr>
          <w:rFonts w:ascii="Arial" w:hAnsi="Arial"/>
          <w:lang w:val="en-US"/>
        </w:rPr>
        <w:t>Jamsawang</w:t>
      </w:r>
      <w:proofErr w:type="spellEnd"/>
      <w:r w:rsidRPr="009934C9">
        <w:rPr>
          <w:rFonts w:ascii="Arial" w:hAnsi="Arial"/>
          <w:lang w:val="en-US"/>
        </w:rPr>
        <w:t>, P. (2025) ‘Integrated performance of geocells and Ruzi grass for slope erosion control under variable rainfall and slope conditions’, Journal of Soils and Sediments, 25, (3), pp. 732–750. https://doi.org/10.1007/s11368-025-03966-3</w:t>
      </w:r>
    </w:p>
    <w:p w14:paraId="41BD8E0B"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de Jesús Arce-Mojica, T.; </w:t>
      </w:r>
      <w:proofErr w:type="spellStart"/>
      <w:r w:rsidRPr="009934C9">
        <w:rPr>
          <w:rFonts w:ascii="Arial" w:hAnsi="Arial"/>
          <w:lang w:val="en-US"/>
        </w:rPr>
        <w:t>Nehren</w:t>
      </w:r>
      <w:proofErr w:type="spellEnd"/>
      <w:r w:rsidRPr="009934C9">
        <w:rPr>
          <w:rFonts w:ascii="Arial" w:hAnsi="Arial"/>
          <w:lang w:val="en-US"/>
        </w:rPr>
        <w:t xml:space="preserve">, U.; Sudmeier-Rieux, K.; Miranda, P.J. y </w:t>
      </w:r>
      <w:proofErr w:type="spellStart"/>
      <w:r w:rsidRPr="009934C9">
        <w:rPr>
          <w:rFonts w:ascii="Arial" w:hAnsi="Arial"/>
          <w:lang w:val="en-US"/>
        </w:rPr>
        <w:t>Anhuf</w:t>
      </w:r>
      <w:proofErr w:type="spellEnd"/>
      <w:r w:rsidRPr="009934C9">
        <w:rPr>
          <w:rFonts w:ascii="Arial" w:hAnsi="Arial"/>
          <w:lang w:val="en-US"/>
        </w:rPr>
        <w:t>, D. (2019) ‘Nature-based solutions (</w:t>
      </w:r>
      <w:proofErr w:type="spellStart"/>
      <w:r w:rsidRPr="009934C9">
        <w:rPr>
          <w:rFonts w:ascii="Arial" w:hAnsi="Arial"/>
          <w:lang w:val="en-US"/>
        </w:rPr>
        <w:t>NbS</w:t>
      </w:r>
      <w:proofErr w:type="spellEnd"/>
      <w:r w:rsidRPr="009934C9">
        <w:rPr>
          <w:rFonts w:ascii="Arial" w:hAnsi="Arial"/>
          <w:lang w:val="en-US"/>
        </w:rPr>
        <w:t>) for reducing the risk of shallow landslides: Where do we stand?’, International Journal of Disaster Risk Reduction, 41, art. 101293. https://doi.org/10.1016/j.ijdrr.2019.101293</w:t>
      </w:r>
    </w:p>
    <w:p w14:paraId="1FFF1457" w14:textId="77777777" w:rsidR="00084B26" w:rsidRPr="009934C9" w:rsidRDefault="00000000">
      <w:pPr>
        <w:spacing w:after="60" w:line="240" w:lineRule="auto"/>
        <w:ind w:left="369" w:hanging="369"/>
        <w:jc w:val="both"/>
        <w:rPr>
          <w:lang w:val="en-US"/>
        </w:rPr>
      </w:pPr>
      <w:r w:rsidRPr="009934C9">
        <w:rPr>
          <w:rFonts w:ascii="Arial" w:hAnsi="Arial"/>
          <w:lang w:val="en-US"/>
        </w:rPr>
        <w:t>DiBiagio, A.; Capobianco, V.; Oen, A. y Tallaksen, L.M. (2024) ‘State-of-the-art: parametrization of hydrological and mechanical reinforcement effects of vegetation in slope stability models for shallow landslides’, Landslides, 21, (10), pp. 2417–2446. https://doi.org/10.1007/s10346-024-02300-1</w:t>
      </w:r>
    </w:p>
    <w:p w14:paraId="17BC0701"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Dong, L.; Wang, G.; Liu, H.; Wu, X.; Yang, T.; Zheng, C. et al. (2025) ‘Parent materials regulate the effects of rainfall intensity and slope gradient on </w:t>
      </w:r>
      <w:proofErr w:type="spellStart"/>
      <w:r w:rsidRPr="009934C9">
        <w:rPr>
          <w:rFonts w:ascii="Arial" w:hAnsi="Arial"/>
          <w:lang w:val="en-US"/>
        </w:rPr>
        <w:t>interrill</w:t>
      </w:r>
      <w:proofErr w:type="spellEnd"/>
      <w:r w:rsidRPr="009934C9">
        <w:rPr>
          <w:rFonts w:ascii="Arial" w:hAnsi="Arial"/>
          <w:lang w:val="en-US"/>
        </w:rPr>
        <w:t xml:space="preserve"> erosion processes in the mountainous canyon regions of Southwest China’, CATENA, 256, art. 109092. https://doi.org/10.1016/j.catena.2025.109092</w:t>
      </w:r>
    </w:p>
    <w:p w14:paraId="23656A16" w14:textId="77777777" w:rsidR="00084B26" w:rsidRPr="009934C9" w:rsidRDefault="00000000">
      <w:pPr>
        <w:spacing w:after="60" w:line="240" w:lineRule="auto"/>
        <w:ind w:left="369" w:hanging="369"/>
        <w:jc w:val="both"/>
        <w:rPr>
          <w:lang w:val="en-US"/>
        </w:rPr>
      </w:pPr>
      <w:r w:rsidRPr="009934C9">
        <w:rPr>
          <w:rFonts w:ascii="Arial" w:hAnsi="Arial"/>
          <w:lang w:val="en-US"/>
        </w:rPr>
        <w:lastRenderedPageBreak/>
        <w:t xml:space="preserve">Dorairaj, D. y Osman, N. (2021) ‘Present practices and emerging opportunities in bioengineering for slope stabilization in Malaysia: An overview’, </w:t>
      </w:r>
      <w:proofErr w:type="spellStart"/>
      <w:r w:rsidRPr="009934C9">
        <w:rPr>
          <w:rFonts w:ascii="Arial" w:hAnsi="Arial"/>
          <w:lang w:val="en-US"/>
        </w:rPr>
        <w:t>PeerJ</w:t>
      </w:r>
      <w:proofErr w:type="spellEnd"/>
      <w:r w:rsidRPr="009934C9">
        <w:rPr>
          <w:rFonts w:ascii="Arial" w:hAnsi="Arial"/>
          <w:lang w:val="en-US"/>
        </w:rPr>
        <w:t>, 9, art. e10477. https://doi.org/10.7717/peerj.10477</w:t>
      </w:r>
    </w:p>
    <w:p w14:paraId="04A394BA"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Dudekula, J.R.; Chigurupati, S. y </w:t>
      </w:r>
      <w:proofErr w:type="spellStart"/>
      <w:r w:rsidRPr="009934C9">
        <w:rPr>
          <w:rFonts w:ascii="Arial" w:hAnsi="Arial"/>
          <w:lang w:val="en-US"/>
        </w:rPr>
        <w:t>Noolu</w:t>
      </w:r>
      <w:proofErr w:type="spellEnd"/>
      <w:r w:rsidRPr="009934C9">
        <w:rPr>
          <w:rFonts w:ascii="Arial" w:hAnsi="Arial"/>
          <w:lang w:val="en-US"/>
        </w:rPr>
        <w:t>, V. (</w:t>
      </w:r>
      <w:proofErr w:type="gramStart"/>
      <w:r w:rsidRPr="009934C9">
        <w:rPr>
          <w:rFonts w:ascii="Arial" w:hAnsi="Arial"/>
          <w:lang w:val="en-US"/>
        </w:rPr>
        <w:t>2026) ‘</w:t>
      </w:r>
      <w:proofErr w:type="gramEnd"/>
      <w:r w:rsidRPr="009934C9">
        <w:rPr>
          <w:rFonts w:ascii="Arial" w:hAnsi="Arial"/>
          <w:lang w:val="en-US"/>
        </w:rPr>
        <w:t xml:space="preserve">Application of biomineral and chemical stabilized soil to moderate the </w:t>
      </w:r>
      <w:proofErr w:type="gramStart"/>
      <w:r w:rsidRPr="009934C9">
        <w:rPr>
          <w:rFonts w:ascii="Arial" w:hAnsi="Arial"/>
          <w:lang w:val="en-US"/>
        </w:rPr>
        <w:t>rainfall based</w:t>
      </w:r>
      <w:proofErr w:type="gramEnd"/>
      <w:r w:rsidRPr="009934C9">
        <w:rPr>
          <w:rFonts w:ascii="Arial" w:hAnsi="Arial"/>
          <w:lang w:val="en-US"/>
        </w:rPr>
        <w:t xml:space="preserve"> slope erosion and to improve the stability of slopes’, Innovative Infrastructure Solutions, 11, (7), art. 400. https://doi.org/10.1007/s41062-026-02706-x</w:t>
      </w:r>
    </w:p>
    <w:p w14:paraId="128D6908" w14:textId="77777777" w:rsidR="00084B26" w:rsidRPr="009934C9" w:rsidRDefault="00000000">
      <w:pPr>
        <w:spacing w:after="60" w:line="240" w:lineRule="auto"/>
        <w:ind w:left="369" w:hanging="369"/>
        <w:jc w:val="both"/>
        <w:rPr>
          <w:lang w:val="en-US"/>
        </w:rPr>
      </w:pPr>
      <w:r w:rsidRPr="009934C9">
        <w:rPr>
          <w:rFonts w:ascii="Arial" w:hAnsi="Arial"/>
          <w:lang w:val="en-US"/>
        </w:rPr>
        <w:t>Feng, L.; Chen, Y.; Guo, M.; Wang, W.; Lou, Y.; Chen, Z. et al. (2025) ‘Effect of dominant vegetation under long-term natural and artificial vegetation restoration modes on gully slope stability considering rainfall and topography interactions’, CATENA, 256, art. 109067. https://doi.org/10.1016/j.catena.2025.109067</w:t>
      </w:r>
    </w:p>
    <w:p w14:paraId="560319FE"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Feng, R.; </w:t>
      </w:r>
      <w:proofErr w:type="spellStart"/>
      <w:r w:rsidRPr="009934C9">
        <w:rPr>
          <w:rFonts w:ascii="Arial" w:hAnsi="Arial"/>
          <w:lang w:val="en-US"/>
        </w:rPr>
        <w:t>Fourtakas</w:t>
      </w:r>
      <w:proofErr w:type="spellEnd"/>
      <w:r w:rsidRPr="009934C9">
        <w:rPr>
          <w:rFonts w:ascii="Arial" w:hAnsi="Arial"/>
          <w:lang w:val="en-US"/>
        </w:rPr>
        <w:t>, G.; Rogers, B.D. y Lombardi, D. (</w:t>
      </w:r>
      <w:proofErr w:type="gramStart"/>
      <w:r w:rsidRPr="009934C9">
        <w:rPr>
          <w:rFonts w:ascii="Arial" w:hAnsi="Arial"/>
          <w:lang w:val="en-US"/>
        </w:rPr>
        <w:t>2022) ‘</w:t>
      </w:r>
      <w:proofErr w:type="gramEnd"/>
      <w:r w:rsidRPr="009934C9">
        <w:rPr>
          <w:rFonts w:ascii="Arial" w:hAnsi="Arial"/>
          <w:lang w:val="en-US"/>
        </w:rPr>
        <w:t xml:space="preserve">Two-phase </w:t>
      </w:r>
      <w:proofErr w:type="gramStart"/>
      <w:r w:rsidRPr="009934C9">
        <w:rPr>
          <w:rFonts w:ascii="Arial" w:hAnsi="Arial"/>
          <w:lang w:val="en-US"/>
        </w:rPr>
        <w:t>fully-coupled</w:t>
      </w:r>
      <w:proofErr w:type="gramEnd"/>
      <w:r w:rsidRPr="009934C9">
        <w:rPr>
          <w:rFonts w:ascii="Arial" w:hAnsi="Arial"/>
          <w:lang w:val="en-US"/>
        </w:rPr>
        <w:t xml:space="preserve"> </w:t>
      </w:r>
      <w:proofErr w:type="gramStart"/>
      <w:r w:rsidRPr="009934C9">
        <w:rPr>
          <w:rFonts w:ascii="Arial" w:hAnsi="Arial"/>
          <w:lang w:val="en-US"/>
        </w:rPr>
        <w:t>smoothed</w:t>
      </w:r>
      <w:proofErr w:type="gramEnd"/>
      <w:r w:rsidRPr="009934C9">
        <w:rPr>
          <w:rFonts w:ascii="Arial" w:hAnsi="Arial"/>
          <w:lang w:val="en-US"/>
        </w:rPr>
        <w:t xml:space="preserve"> particle hydrodynamics (SPH) model for unsaturated soils and its application to rainfall-induced slope collapse’, Computers and Geotechnics, 151, art. 104964. https://doi.org/10.1016/j.compgeo.2022.104964</w:t>
      </w:r>
    </w:p>
    <w:p w14:paraId="5009070E" w14:textId="77777777" w:rsidR="00084B26" w:rsidRPr="009934C9" w:rsidRDefault="00000000">
      <w:pPr>
        <w:spacing w:after="60" w:line="240" w:lineRule="auto"/>
        <w:ind w:left="369" w:hanging="369"/>
        <w:jc w:val="both"/>
        <w:rPr>
          <w:lang w:val="en-US"/>
        </w:rPr>
      </w:pPr>
      <w:r w:rsidRPr="009934C9">
        <w:rPr>
          <w:rFonts w:ascii="Arial" w:hAnsi="Arial"/>
          <w:lang w:val="en-US"/>
        </w:rPr>
        <w:t>Gray, D.H. y Sotir, R.B. (1996) Biotechnical and Soil Bioengineering Slope Stabilization: A Practical Guide for Erosion Control. New York: Wiley.</w:t>
      </w:r>
    </w:p>
    <w:p w14:paraId="05607F81" w14:textId="77777777" w:rsidR="00084B26" w:rsidRPr="009934C9" w:rsidRDefault="00000000">
      <w:pPr>
        <w:spacing w:after="60" w:line="240" w:lineRule="auto"/>
        <w:ind w:left="369" w:hanging="369"/>
        <w:jc w:val="both"/>
        <w:rPr>
          <w:lang w:val="en-US"/>
        </w:rPr>
      </w:pPr>
      <w:r w:rsidRPr="009934C9">
        <w:rPr>
          <w:rFonts w:ascii="Arial" w:hAnsi="Arial"/>
          <w:lang w:val="en-US"/>
        </w:rPr>
        <w:t>Gu, X.; Song, L.; Xia, X. y Yu, C. (</w:t>
      </w:r>
      <w:proofErr w:type="gramStart"/>
      <w:r w:rsidRPr="009934C9">
        <w:rPr>
          <w:rFonts w:ascii="Arial" w:hAnsi="Arial"/>
          <w:lang w:val="en-US"/>
        </w:rPr>
        <w:t>2024) ‘</w:t>
      </w:r>
      <w:proofErr w:type="gramEnd"/>
      <w:r w:rsidRPr="009934C9">
        <w:rPr>
          <w:rFonts w:ascii="Arial" w:hAnsi="Arial"/>
          <w:lang w:val="en-US"/>
        </w:rPr>
        <w:t>Finite Element Method-</w:t>
      </w:r>
      <w:proofErr w:type="spellStart"/>
      <w:r w:rsidRPr="009934C9">
        <w:rPr>
          <w:rFonts w:ascii="Arial" w:hAnsi="Arial"/>
          <w:lang w:val="en-US"/>
        </w:rPr>
        <w:t>Peridynamics</w:t>
      </w:r>
      <w:proofErr w:type="spellEnd"/>
      <w:r w:rsidRPr="009934C9">
        <w:rPr>
          <w:rFonts w:ascii="Arial" w:hAnsi="Arial"/>
          <w:lang w:val="en-US"/>
        </w:rPr>
        <w:t xml:space="preserve"> Coupled Analysis of Slope Stability Affected by Rainfall Erosion’, Water, 16, (15), art. 2210. https://doi.org/10.3390/w16152210</w:t>
      </w:r>
    </w:p>
    <w:p w14:paraId="62081C0D" w14:textId="77777777" w:rsidR="00084B26" w:rsidRPr="009934C9" w:rsidRDefault="00000000">
      <w:pPr>
        <w:spacing w:after="60" w:line="240" w:lineRule="auto"/>
        <w:ind w:left="369" w:hanging="369"/>
        <w:jc w:val="both"/>
        <w:rPr>
          <w:lang w:val="en-US"/>
        </w:rPr>
      </w:pPr>
      <w:r w:rsidRPr="009934C9">
        <w:rPr>
          <w:rFonts w:ascii="Arial" w:hAnsi="Arial"/>
          <w:lang w:val="en-US"/>
        </w:rPr>
        <w:t>Gu, X.; Wang, L.; Ou, Q. y Zhang, W. (2023) ‘Efficient stochastic analysis of unsaturated slopes subjected to various rainfall intensities and patterns’, Geoscience Frontiers, 14, (1), art. 101490. https://doi.org/10.1016/j.gsf.2022.101490</w:t>
      </w:r>
    </w:p>
    <w:p w14:paraId="6C2914A8"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Gyssels, G.; </w:t>
      </w:r>
      <w:proofErr w:type="spellStart"/>
      <w:r w:rsidRPr="009934C9">
        <w:rPr>
          <w:rFonts w:ascii="Arial" w:hAnsi="Arial"/>
          <w:lang w:val="en-US"/>
        </w:rPr>
        <w:t>Poesen</w:t>
      </w:r>
      <w:proofErr w:type="spellEnd"/>
      <w:r w:rsidRPr="009934C9">
        <w:rPr>
          <w:rFonts w:ascii="Arial" w:hAnsi="Arial"/>
          <w:lang w:val="en-US"/>
        </w:rPr>
        <w:t xml:space="preserve">, J.; </w:t>
      </w:r>
      <w:proofErr w:type="spellStart"/>
      <w:r w:rsidRPr="009934C9">
        <w:rPr>
          <w:rFonts w:ascii="Arial" w:hAnsi="Arial"/>
          <w:lang w:val="en-US"/>
        </w:rPr>
        <w:t>Bochet</w:t>
      </w:r>
      <w:proofErr w:type="spellEnd"/>
      <w:r w:rsidRPr="009934C9">
        <w:rPr>
          <w:rFonts w:ascii="Arial" w:hAnsi="Arial"/>
          <w:lang w:val="en-US"/>
        </w:rPr>
        <w:t>, E. y Li, Y. (2005) ‘Impact of plant roots on the resistance of soils to erosion by water: a review’, Progress in Physical Geography: Earth and Environment, 29, (2), pp. 189–217. https://doi.org/10.1191/0309133305pp443ra</w:t>
      </w:r>
    </w:p>
    <w:p w14:paraId="7F0A6D7C" w14:textId="77777777" w:rsidR="00084B26" w:rsidRPr="009934C9" w:rsidRDefault="00000000">
      <w:pPr>
        <w:spacing w:after="60" w:line="240" w:lineRule="auto"/>
        <w:ind w:left="369" w:hanging="369"/>
        <w:jc w:val="both"/>
        <w:rPr>
          <w:lang w:val="en-US"/>
        </w:rPr>
      </w:pPr>
      <w:r w:rsidRPr="009934C9">
        <w:rPr>
          <w:rFonts w:ascii="Arial" w:hAnsi="Arial"/>
          <w:lang w:val="en-US"/>
        </w:rPr>
        <w:t>He, Z.; Yuan, G.; Hao, S.; Tong, H. y Zhang, R. (</w:t>
      </w:r>
      <w:proofErr w:type="gramStart"/>
      <w:r w:rsidRPr="009934C9">
        <w:rPr>
          <w:rFonts w:ascii="Arial" w:hAnsi="Arial"/>
          <w:lang w:val="en-US"/>
        </w:rPr>
        <w:t>2025) ‘</w:t>
      </w:r>
      <w:proofErr w:type="gramEnd"/>
      <w:r w:rsidRPr="009934C9">
        <w:rPr>
          <w:rFonts w:ascii="Arial" w:hAnsi="Arial"/>
          <w:lang w:val="en-US"/>
        </w:rPr>
        <w:t>Mechanism Analysis of the Effects of Rainfall Intensity, Grass Coverage, and Slope on Slope Erosion Processes’, Water, 17, (8), art. 1194. https://doi.org/10.3390/w17081194</w:t>
      </w:r>
    </w:p>
    <w:p w14:paraId="4E172302" w14:textId="77777777" w:rsidR="00084B26" w:rsidRPr="009934C9" w:rsidRDefault="00000000">
      <w:pPr>
        <w:spacing w:after="60" w:line="240" w:lineRule="auto"/>
        <w:ind w:left="369" w:hanging="369"/>
        <w:jc w:val="both"/>
        <w:rPr>
          <w:lang w:val="en-US"/>
        </w:rPr>
      </w:pPr>
      <w:r w:rsidRPr="009934C9">
        <w:rPr>
          <w:rFonts w:ascii="Arial" w:hAnsi="Arial"/>
          <w:lang w:val="en-US"/>
        </w:rPr>
        <w:t>Jiang, H.; Zou, Q.; Zhou, B.; Jiang, Y.; Cui, J.; Yao, H. et al. (2023) ‘Estimation of Shallow Landslide Susceptibility Incorporating the Impacts of Vegetation on Slope Stability’, International Journal of Disaster Risk Science, 14, (4), pp. 618–635. https://doi.org/10.1007/s13753-023-00507-9</w:t>
      </w:r>
    </w:p>
    <w:p w14:paraId="68A6F265"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Lammeranner</w:t>
      </w:r>
      <w:proofErr w:type="spellEnd"/>
      <w:r w:rsidRPr="009934C9">
        <w:rPr>
          <w:rFonts w:ascii="Arial" w:hAnsi="Arial"/>
          <w:lang w:val="en-US"/>
        </w:rPr>
        <w:t xml:space="preserve">, W.; Rauch, H.P. y </w:t>
      </w:r>
      <w:proofErr w:type="spellStart"/>
      <w:r w:rsidRPr="009934C9">
        <w:rPr>
          <w:rFonts w:ascii="Arial" w:hAnsi="Arial"/>
          <w:lang w:val="en-US"/>
        </w:rPr>
        <w:t>Laaha</w:t>
      </w:r>
      <w:proofErr w:type="spellEnd"/>
      <w:r w:rsidRPr="009934C9">
        <w:rPr>
          <w:rFonts w:ascii="Arial" w:hAnsi="Arial"/>
          <w:lang w:val="en-US"/>
        </w:rPr>
        <w:t>, G. (2005) ‘Implementation and Monitoring of Soil Bioengineering Measures at a Landslide in the Middle Mountains of Nepal’, Plant and Soil, 278, (1-2), pp. 159–170. https://doi.org/10.1007/s11104-005-7012-8</w:t>
      </w:r>
    </w:p>
    <w:p w14:paraId="67ADF165" w14:textId="77777777" w:rsidR="00084B26" w:rsidRPr="009934C9" w:rsidRDefault="00000000">
      <w:pPr>
        <w:spacing w:after="60" w:line="240" w:lineRule="auto"/>
        <w:ind w:left="369" w:hanging="369"/>
        <w:jc w:val="both"/>
        <w:rPr>
          <w:lang w:val="en-US"/>
        </w:rPr>
      </w:pPr>
      <w:r w:rsidRPr="009934C9">
        <w:rPr>
          <w:rFonts w:ascii="Arial" w:hAnsi="Arial"/>
          <w:lang w:val="en-US"/>
        </w:rPr>
        <w:t>Lann, T.; Bao, H.; Lan, H.; Zheng, H.; Yan, C. y Peng, J. (</w:t>
      </w:r>
      <w:proofErr w:type="gramStart"/>
      <w:r w:rsidRPr="009934C9">
        <w:rPr>
          <w:rFonts w:ascii="Arial" w:hAnsi="Arial"/>
          <w:lang w:val="en-US"/>
        </w:rPr>
        <w:t>2024) ‘</w:t>
      </w:r>
      <w:proofErr w:type="gramEnd"/>
      <w:r w:rsidRPr="009934C9">
        <w:rPr>
          <w:rFonts w:ascii="Arial" w:hAnsi="Arial"/>
          <w:lang w:val="en-US"/>
        </w:rPr>
        <w:t>Hydro-mechanical effects of vegetation on slope stability: A review’, Science of The Total Environment, 926, art. 171691. https://doi.org/10.1016/j.scitotenv.2024.171691</w:t>
      </w:r>
    </w:p>
    <w:p w14:paraId="17128E54" w14:textId="77777777" w:rsidR="00084B26" w:rsidRPr="009934C9" w:rsidRDefault="00000000">
      <w:pPr>
        <w:spacing w:after="60" w:line="240" w:lineRule="auto"/>
        <w:ind w:left="369" w:hanging="369"/>
        <w:jc w:val="both"/>
        <w:rPr>
          <w:lang w:val="en-US"/>
        </w:rPr>
      </w:pPr>
      <w:r w:rsidRPr="009934C9">
        <w:rPr>
          <w:rFonts w:ascii="Arial" w:hAnsi="Arial"/>
          <w:lang w:val="en-US"/>
        </w:rPr>
        <w:t>Lewis, L.; Hagen, S. y Salisbury, S.L. (2001) Soil Bioengineering for Slope Stabilization. Research Report WA-RD 491.1. Olympia: Washington State Department of Transportation.</w:t>
      </w:r>
    </w:p>
    <w:p w14:paraId="3DEAEFCD"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Liang, T.; Bengough, A.G.; Knappett, J.A.; </w:t>
      </w:r>
      <w:proofErr w:type="spellStart"/>
      <w:r w:rsidRPr="009934C9">
        <w:rPr>
          <w:rFonts w:ascii="Arial" w:hAnsi="Arial"/>
          <w:lang w:val="en-US"/>
        </w:rPr>
        <w:t>MuirWood</w:t>
      </w:r>
      <w:proofErr w:type="spellEnd"/>
      <w:r w:rsidRPr="009934C9">
        <w:rPr>
          <w:rFonts w:ascii="Arial" w:hAnsi="Arial"/>
          <w:lang w:val="en-US"/>
        </w:rPr>
        <w:t>, D.; Loades, K.W.; Hallett, P.D. et al. (2017) ‘Scaling of the reinforcement of soil slopes by living plants in a geotechnical centrifuge’, Ecological Engineering, 109, pp. 207–227. https://doi.org/10.1016/j.ecoleng.2017.06.067</w:t>
      </w:r>
    </w:p>
    <w:p w14:paraId="78FE69A8" w14:textId="77777777" w:rsidR="00084B26" w:rsidRPr="009934C9" w:rsidRDefault="00000000">
      <w:pPr>
        <w:spacing w:after="60" w:line="240" w:lineRule="auto"/>
        <w:ind w:left="369" w:hanging="369"/>
        <w:jc w:val="both"/>
        <w:rPr>
          <w:lang w:val="en-US"/>
        </w:rPr>
      </w:pPr>
      <w:r w:rsidRPr="009934C9">
        <w:rPr>
          <w:rFonts w:ascii="Arial" w:hAnsi="Arial"/>
          <w:lang w:val="en-US"/>
        </w:rPr>
        <w:t>Liu, X. y Wang, Y. (2023) ‘Probabilistic hazard analysis of rainfall-induced landslides at a specific slope considering rainfall uncertainty and soil spatial variability’, Computers and Geotechnics, 162, art. 105706. https://doi.org/10.1016/j.compgeo.2023.105706</w:t>
      </w:r>
    </w:p>
    <w:p w14:paraId="5328383C" w14:textId="77777777" w:rsidR="00084B26" w:rsidRPr="009934C9" w:rsidRDefault="00000000">
      <w:pPr>
        <w:spacing w:after="60" w:line="240" w:lineRule="auto"/>
        <w:ind w:left="369" w:hanging="369"/>
        <w:jc w:val="both"/>
        <w:rPr>
          <w:lang w:val="en-US"/>
        </w:rPr>
      </w:pPr>
      <w:r w:rsidRPr="009934C9">
        <w:rPr>
          <w:rFonts w:ascii="Arial" w:hAnsi="Arial"/>
          <w:lang w:val="en-US"/>
        </w:rPr>
        <w:t>Liu, Y.J.; Hu, J.M.; Wang, T.W.; Cai, C.F.; Li, Z.X. y Zhang, Y. (2016) ‘Effects of vegetation cover and road-concentrated flow on hillslope erosion in rainfall and scouring simulation tests in the Three Gorges Reservoir Area, China’, CATENA, 136, pp. 108–117. https://doi.org/10.1016/j.catena.2015.06.006</w:t>
      </w:r>
    </w:p>
    <w:p w14:paraId="49022658"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Liu, Y.J.; Wang, T.W.; Cai, C.F.; Li, Z.X. y Cheng, D.B. (2014) ‘Effects of vegetation on runoff generation, sediment yield and soil shear strength on road-side slopes under a simulation rainfall </w:t>
      </w:r>
      <w:r w:rsidRPr="009934C9">
        <w:rPr>
          <w:rFonts w:ascii="Arial" w:hAnsi="Arial"/>
          <w:lang w:val="en-US"/>
        </w:rPr>
        <w:lastRenderedPageBreak/>
        <w:t>test in the Three Gorges Reservoir Area, China’, Science of The Total Environment, 485-486, pp. 93–102. https://doi.org/10.1016/j.scitotenv.2014.03.053</w:t>
      </w:r>
    </w:p>
    <w:p w14:paraId="7285E1EC" w14:textId="77777777" w:rsidR="00084B26" w:rsidRPr="009934C9" w:rsidRDefault="00000000">
      <w:pPr>
        <w:spacing w:after="60" w:line="240" w:lineRule="auto"/>
        <w:ind w:left="369" w:hanging="369"/>
        <w:jc w:val="both"/>
        <w:rPr>
          <w:lang w:val="en-US"/>
        </w:rPr>
      </w:pPr>
      <w:r w:rsidRPr="009934C9">
        <w:rPr>
          <w:rFonts w:ascii="Arial" w:hAnsi="Arial"/>
          <w:lang w:val="en-US"/>
        </w:rPr>
        <w:t>Luo, H.; Zhao, T.; Dong, M.; Gao, J.; Peng, X.; Guo, Y. et al. (2013) ‘Field studies on the effects of three geotextiles on runoff and erosion of road slope in Beijing, China’, CATENA, 109, pp. 150–156. https://doi.org/10.1016/j.catena.2013.04.004</w:t>
      </w:r>
    </w:p>
    <w:p w14:paraId="1539006A" w14:textId="77777777" w:rsidR="00084B26" w:rsidRPr="009934C9" w:rsidRDefault="00000000">
      <w:pPr>
        <w:spacing w:after="60" w:line="240" w:lineRule="auto"/>
        <w:ind w:left="369" w:hanging="369"/>
        <w:jc w:val="both"/>
        <w:rPr>
          <w:lang w:val="en-US"/>
        </w:rPr>
      </w:pPr>
      <w:r w:rsidRPr="009934C9">
        <w:rPr>
          <w:rFonts w:ascii="Arial" w:hAnsi="Arial"/>
          <w:lang w:val="en-US"/>
        </w:rPr>
        <w:t>Mickovski, S.B. y van Beek, L.P.H. (2009) ‘Root morphology and effects on soil reinforcement and slope stability of young vetiver (</w:t>
      </w:r>
      <w:proofErr w:type="spellStart"/>
      <w:r w:rsidRPr="009934C9">
        <w:rPr>
          <w:rFonts w:ascii="Arial" w:hAnsi="Arial"/>
          <w:lang w:val="en-US"/>
        </w:rPr>
        <w:t>Vetiveria</w:t>
      </w:r>
      <w:proofErr w:type="spellEnd"/>
      <w:r w:rsidRPr="009934C9">
        <w:rPr>
          <w:rFonts w:ascii="Arial" w:hAnsi="Arial"/>
          <w:lang w:val="en-US"/>
        </w:rPr>
        <w:t xml:space="preserve"> </w:t>
      </w:r>
      <w:proofErr w:type="spellStart"/>
      <w:r w:rsidRPr="009934C9">
        <w:rPr>
          <w:rFonts w:ascii="Arial" w:hAnsi="Arial"/>
          <w:lang w:val="en-US"/>
        </w:rPr>
        <w:t>zizanioides</w:t>
      </w:r>
      <w:proofErr w:type="spellEnd"/>
      <w:r w:rsidRPr="009934C9">
        <w:rPr>
          <w:rFonts w:ascii="Arial" w:hAnsi="Arial"/>
          <w:lang w:val="en-US"/>
        </w:rPr>
        <w:t>) plants grown in semi-arid climate’, Plant and Soil, 324, (1-2), pp. 43–56. https://doi.org/10.1007/s11104-009-0130-y</w:t>
      </w:r>
    </w:p>
    <w:p w14:paraId="46D1A8B7"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Murgia, I.; </w:t>
      </w:r>
      <w:proofErr w:type="spellStart"/>
      <w:r w:rsidRPr="009934C9">
        <w:rPr>
          <w:rFonts w:ascii="Arial" w:hAnsi="Arial"/>
          <w:lang w:val="en-US"/>
        </w:rPr>
        <w:t>Giadrossich</w:t>
      </w:r>
      <w:proofErr w:type="spellEnd"/>
      <w:r w:rsidRPr="009934C9">
        <w:rPr>
          <w:rFonts w:ascii="Arial" w:hAnsi="Arial"/>
          <w:lang w:val="en-US"/>
        </w:rPr>
        <w:t>, F.; Mao, Z.; Cohen, D.; Capra, G.F. y Schwarz, M. (2022) ‘Modeling shallow landslides and root reinforcement: A review’, Ecological Engineering, 181, art. 106671. https://doi.org/10.1016/j.ecoleng.2022.106671</w:t>
      </w:r>
    </w:p>
    <w:p w14:paraId="744255E2"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Nazrien</w:t>
      </w:r>
      <w:proofErr w:type="spellEnd"/>
      <w:r w:rsidRPr="009934C9">
        <w:rPr>
          <w:rFonts w:ascii="Arial" w:hAnsi="Arial"/>
          <w:lang w:val="en-US"/>
        </w:rPr>
        <w:t xml:space="preserve"> Ng, J.; Mohd Taib, A.; Razali, I.H.; Abd Rahman, N.; Wan </w:t>
      </w:r>
      <w:proofErr w:type="spellStart"/>
      <w:r w:rsidRPr="009934C9">
        <w:rPr>
          <w:rFonts w:ascii="Arial" w:hAnsi="Arial"/>
          <w:lang w:val="en-US"/>
        </w:rPr>
        <w:t>Mohtar</w:t>
      </w:r>
      <w:proofErr w:type="spellEnd"/>
      <w:r w:rsidRPr="009934C9">
        <w:rPr>
          <w:rFonts w:ascii="Arial" w:hAnsi="Arial"/>
          <w:lang w:val="en-US"/>
        </w:rPr>
        <w:t>, W.H.M.; A. Karim, O. et al. (</w:t>
      </w:r>
      <w:proofErr w:type="gramStart"/>
      <w:r w:rsidRPr="009934C9">
        <w:rPr>
          <w:rFonts w:ascii="Arial" w:hAnsi="Arial"/>
          <w:lang w:val="en-US"/>
        </w:rPr>
        <w:t>2022) ‘</w:t>
      </w:r>
      <w:proofErr w:type="gramEnd"/>
      <w:r w:rsidRPr="009934C9">
        <w:rPr>
          <w:rFonts w:ascii="Arial" w:hAnsi="Arial"/>
          <w:lang w:val="en-US"/>
        </w:rPr>
        <w:t xml:space="preserve">The Effect of Extreme Rainfall Events on Riverbank Slope </w:t>
      </w:r>
      <w:proofErr w:type="spellStart"/>
      <w:r w:rsidRPr="009934C9">
        <w:rPr>
          <w:rFonts w:ascii="Arial" w:hAnsi="Arial"/>
          <w:lang w:val="en-US"/>
        </w:rPr>
        <w:t>Behaviour</w:t>
      </w:r>
      <w:proofErr w:type="spellEnd"/>
      <w:r w:rsidRPr="009934C9">
        <w:rPr>
          <w:rFonts w:ascii="Arial" w:hAnsi="Arial"/>
          <w:lang w:val="en-US"/>
        </w:rPr>
        <w:t>’, Frontiers in Environmental Science, 10, art. 859427. https://doi.org/10.3389/fenvs.2022.859427</w:t>
      </w:r>
    </w:p>
    <w:p w14:paraId="2FE5C466"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Ng, C.W.W.; Leung, A.K.; Yu, R. y </w:t>
      </w:r>
      <w:proofErr w:type="spellStart"/>
      <w:r w:rsidRPr="009934C9">
        <w:rPr>
          <w:rFonts w:ascii="Arial" w:hAnsi="Arial"/>
          <w:lang w:val="en-US"/>
        </w:rPr>
        <w:t>Kamchoom</w:t>
      </w:r>
      <w:proofErr w:type="spellEnd"/>
      <w:r w:rsidRPr="009934C9">
        <w:rPr>
          <w:rFonts w:ascii="Arial" w:hAnsi="Arial"/>
          <w:lang w:val="en-US"/>
        </w:rPr>
        <w:t>, V. (2017) ‘Hydrological Effects of Live Poles on Transient Seepage in an Unsaturated Soil Slope: Centrifuge and Numerical Study’, Journal of Geotechnical and Geoenvironmental Engineering, 143, (3), art. 04016106. https://doi.org/10.1061/(asce)gt.1943-5606.0001616</w:t>
      </w:r>
    </w:p>
    <w:p w14:paraId="1CAC5C4B"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Page, M.J.; McKenzie, J.E.; Bossuyt, P.M.; </w:t>
      </w:r>
      <w:proofErr w:type="spellStart"/>
      <w:r w:rsidRPr="009934C9">
        <w:rPr>
          <w:rFonts w:ascii="Arial" w:hAnsi="Arial"/>
          <w:lang w:val="en-US"/>
        </w:rPr>
        <w:t>Boutron</w:t>
      </w:r>
      <w:proofErr w:type="spellEnd"/>
      <w:r w:rsidRPr="009934C9">
        <w:rPr>
          <w:rFonts w:ascii="Arial" w:hAnsi="Arial"/>
          <w:lang w:val="en-US"/>
        </w:rPr>
        <w:t>, I.; Hoffmann, T.C.; Mulrow, C.D. et al. (2021) ‘The PRISMA 2020 statement: an updated guideline for reporting systematic reviews’, BMJ, art. n71. https://doi.org/10.1136/bmj.n71</w:t>
      </w:r>
    </w:p>
    <w:p w14:paraId="1B5D578E"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Pan, X.; Chu, J. y Cheng, L. (2023) ‘Reduction of rainfall infiltration in soil slope using a controllable </w:t>
      </w:r>
      <w:proofErr w:type="spellStart"/>
      <w:r w:rsidRPr="009934C9">
        <w:rPr>
          <w:rFonts w:ascii="Arial" w:hAnsi="Arial"/>
          <w:lang w:val="en-US"/>
        </w:rPr>
        <w:t>biocementation</w:t>
      </w:r>
      <w:proofErr w:type="spellEnd"/>
      <w:r w:rsidRPr="009934C9">
        <w:rPr>
          <w:rFonts w:ascii="Arial" w:hAnsi="Arial"/>
          <w:lang w:val="en-US"/>
        </w:rPr>
        <w:t xml:space="preserve"> method’, </w:t>
      </w:r>
      <w:proofErr w:type="spellStart"/>
      <w:r w:rsidRPr="009934C9">
        <w:rPr>
          <w:rFonts w:ascii="Arial" w:hAnsi="Arial"/>
          <w:lang w:val="en-US"/>
        </w:rPr>
        <w:t>Biogeotechnics</w:t>
      </w:r>
      <w:proofErr w:type="spellEnd"/>
      <w:r w:rsidRPr="009934C9">
        <w:rPr>
          <w:rFonts w:ascii="Arial" w:hAnsi="Arial"/>
          <w:lang w:val="en-US"/>
        </w:rPr>
        <w:t>, 1, (2), art. 100023. https://doi.org/10.1016/j.bgtech.2023.100023</w:t>
      </w:r>
    </w:p>
    <w:p w14:paraId="66F49FCD" w14:textId="77777777" w:rsidR="00084B26" w:rsidRPr="009934C9" w:rsidRDefault="00000000">
      <w:pPr>
        <w:spacing w:after="60" w:line="240" w:lineRule="auto"/>
        <w:ind w:left="369" w:hanging="369"/>
        <w:jc w:val="both"/>
        <w:rPr>
          <w:lang w:val="en-US"/>
        </w:rPr>
      </w:pPr>
      <w:r w:rsidRPr="009934C9">
        <w:rPr>
          <w:rFonts w:ascii="Arial" w:hAnsi="Arial"/>
          <w:lang w:val="en-US"/>
        </w:rPr>
        <w:t>Petrone, A. y Preti, F. (2008) ‘Suitability of soil bioengineering techniques in Central America: a case study in Nicaragua’, Hydrology and Earth System Sciences, 12, (5), pp. 1241–1248. https://doi.org/10.5194/hess-12-1241-2008</w:t>
      </w:r>
    </w:p>
    <w:p w14:paraId="51A364AC" w14:textId="77777777" w:rsidR="00084B26" w:rsidRPr="009934C9" w:rsidRDefault="00000000">
      <w:pPr>
        <w:spacing w:after="60" w:line="240" w:lineRule="auto"/>
        <w:ind w:left="369" w:hanging="369"/>
        <w:jc w:val="both"/>
        <w:rPr>
          <w:lang w:val="en-US"/>
        </w:rPr>
      </w:pPr>
      <w:r w:rsidRPr="009934C9">
        <w:rPr>
          <w:rFonts w:ascii="Arial" w:hAnsi="Arial"/>
          <w:lang w:val="en-US"/>
        </w:rPr>
        <w:t>Petrone, A. y Preti, F. (2010) ‘Soil bioengineering for risk mitigation and environmental restoration in a humid tropical area’, Hydrology and Earth System Sciences, 14, (2), pp. 239–250. https://doi.org/10.5194/hess-14-239-2010</w:t>
      </w:r>
    </w:p>
    <w:p w14:paraId="0459F53A"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Preti, F. y </w:t>
      </w:r>
      <w:proofErr w:type="spellStart"/>
      <w:r w:rsidRPr="009934C9">
        <w:rPr>
          <w:rFonts w:ascii="Arial" w:hAnsi="Arial"/>
          <w:lang w:val="en-US"/>
        </w:rPr>
        <w:t>Giadrossich</w:t>
      </w:r>
      <w:proofErr w:type="spellEnd"/>
      <w:r w:rsidRPr="009934C9">
        <w:rPr>
          <w:rFonts w:ascii="Arial" w:hAnsi="Arial"/>
          <w:lang w:val="en-US"/>
        </w:rPr>
        <w:t xml:space="preserve">, F. (2009) ‘Root reinforcement and slope bioengineering stabilization by Spanish Broom </w:t>
      </w:r>
      <w:proofErr w:type="gramStart"/>
      <w:r w:rsidRPr="009934C9">
        <w:rPr>
          <w:rFonts w:ascii="Arial" w:hAnsi="Arial"/>
          <w:lang w:val="en-US"/>
        </w:rPr>
        <w:t xml:space="preserve">( </w:t>
      </w:r>
      <w:proofErr w:type="spellStart"/>
      <w:r w:rsidRPr="009934C9">
        <w:rPr>
          <w:rFonts w:ascii="Arial" w:hAnsi="Arial"/>
          <w:lang w:val="en-US"/>
        </w:rPr>
        <w:t>Spartium</w:t>
      </w:r>
      <w:proofErr w:type="spellEnd"/>
      <w:proofErr w:type="gramEnd"/>
      <w:r w:rsidRPr="009934C9">
        <w:rPr>
          <w:rFonts w:ascii="Arial" w:hAnsi="Arial"/>
          <w:lang w:val="en-US"/>
        </w:rPr>
        <w:t xml:space="preserve"> </w:t>
      </w:r>
      <w:proofErr w:type="spellStart"/>
      <w:r w:rsidRPr="009934C9">
        <w:rPr>
          <w:rFonts w:ascii="Arial" w:hAnsi="Arial"/>
          <w:lang w:val="en-US"/>
        </w:rPr>
        <w:t>junceum</w:t>
      </w:r>
      <w:proofErr w:type="spellEnd"/>
      <w:r w:rsidRPr="009934C9">
        <w:rPr>
          <w:rFonts w:ascii="Arial" w:hAnsi="Arial"/>
          <w:lang w:val="en-US"/>
        </w:rPr>
        <w:t xml:space="preserve"> L.)’, Hydrology and Earth System Sciences, 13, (9), pp. 1713–1726. https://doi.org/10.5194/hess-13-1713-2009</w:t>
      </w:r>
    </w:p>
    <w:p w14:paraId="0A216447"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Preti, F.; Dani, A.; Giambastiani, Y. y </w:t>
      </w:r>
      <w:proofErr w:type="spellStart"/>
      <w:r w:rsidRPr="009934C9">
        <w:rPr>
          <w:rFonts w:ascii="Arial" w:hAnsi="Arial"/>
          <w:lang w:val="en-US"/>
        </w:rPr>
        <w:t>Giachi</w:t>
      </w:r>
      <w:proofErr w:type="spellEnd"/>
      <w:r w:rsidRPr="009934C9">
        <w:rPr>
          <w:rFonts w:ascii="Arial" w:hAnsi="Arial"/>
          <w:lang w:val="en-US"/>
        </w:rPr>
        <w:t>, E. (2025) ‘Slope stability time evolution of a shallow landslide restored by Soil and Water Bioengineering (SWBE) techniques: A case study in Northwest Tuscany (Italy)’, Ecological Engineering, 214, art. 107570. https://doi.org/10.1016/j.ecoleng.2025.107570</w:t>
      </w:r>
    </w:p>
    <w:p w14:paraId="3E109FBB"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Rahardjo, H.; </w:t>
      </w:r>
      <w:proofErr w:type="spellStart"/>
      <w:r w:rsidRPr="009934C9">
        <w:rPr>
          <w:rFonts w:ascii="Arial" w:hAnsi="Arial"/>
          <w:lang w:val="en-US"/>
        </w:rPr>
        <w:t>Satyanaga</w:t>
      </w:r>
      <w:proofErr w:type="spellEnd"/>
      <w:r w:rsidRPr="009934C9">
        <w:rPr>
          <w:rFonts w:ascii="Arial" w:hAnsi="Arial"/>
          <w:lang w:val="en-US"/>
        </w:rPr>
        <w:t>, A.; Leong, E.C.; Santoso, V.A. y Ng, Y.S. (2014) ‘Performance of an instrumented slope covered with shrubs and deep-rooted grass’, Soils and Foundations, 54, (3), pp. 417–425. https://doi.org/10.1016/j.sandf.2014.04.010</w:t>
      </w:r>
    </w:p>
    <w:p w14:paraId="1ECC9BA8" w14:textId="77777777" w:rsidR="00084B26" w:rsidRPr="009934C9" w:rsidRDefault="00000000">
      <w:pPr>
        <w:spacing w:after="60" w:line="240" w:lineRule="auto"/>
        <w:ind w:left="369" w:hanging="369"/>
        <w:jc w:val="both"/>
        <w:rPr>
          <w:lang w:val="en-US"/>
        </w:rPr>
      </w:pPr>
      <w:r w:rsidRPr="009934C9">
        <w:rPr>
          <w:rFonts w:ascii="Arial" w:hAnsi="Arial"/>
          <w:lang w:val="en-US"/>
        </w:rPr>
        <w:t>Ran, G.; Xu, X.; Zhao, Y.; Siyal, A.A. y Zhu, Y. (2026) ‘How Do Vegetation Patterns Control Gravity Erosion in Slope–Gully Systems Under Heavy Rainfall on the Loess Plateau of China?’, Land Degradation &amp;amp; Development, 37, (10), pp. 5356–5371. https://doi.org/10.1002/ldr.70457</w:t>
      </w:r>
    </w:p>
    <w:p w14:paraId="2A7C43E4"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Reubens, B.; </w:t>
      </w:r>
      <w:proofErr w:type="spellStart"/>
      <w:r w:rsidRPr="009934C9">
        <w:rPr>
          <w:rFonts w:ascii="Arial" w:hAnsi="Arial"/>
          <w:lang w:val="en-US"/>
        </w:rPr>
        <w:t>Poesen</w:t>
      </w:r>
      <w:proofErr w:type="spellEnd"/>
      <w:r w:rsidRPr="009934C9">
        <w:rPr>
          <w:rFonts w:ascii="Arial" w:hAnsi="Arial"/>
          <w:lang w:val="en-US"/>
        </w:rPr>
        <w:t xml:space="preserve">, J.; </w:t>
      </w:r>
      <w:proofErr w:type="spellStart"/>
      <w:r w:rsidRPr="009934C9">
        <w:rPr>
          <w:rFonts w:ascii="Arial" w:hAnsi="Arial"/>
          <w:lang w:val="en-US"/>
        </w:rPr>
        <w:t>Danjon</w:t>
      </w:r>
      <w:proofErr w:type="spellEnd"/>
      <w:r w:rsidRPr="009934C9">
        <w:rPr>
          <w:rFonts w:ascii="Arial" w:hAnsi="Arial"/>
          <w:lang w:val="en-US"/>
        </w:rPr>
        <w:t xml:space="preserve">, F.; </w:t>
      </w:r>
      <w:proofErr w:type="spellStart"/>
      <w:r w:rsidRPr="009934C9">
        <w:rPr>
          <w:rFonts w:ascii="Arial" w:hAnsi="Arial"/>
          <w:lang w:val="en-US"/>
        </w:rPr>
        <w:t>Geudens</w:t>
      </w:r>
      <w:proofErr w:type="spellEnd"/>
      <w:r w:rsidRPr="009934C9">
        <w:rPr>
          <w:rFonts w:ascii="Arial" w:hAnsi="Arial"/>
          <w:lang w:val="en-US"/>
        </w:rPr>
        <w:t>, G. y Muys, B. (2007) ‘The role of fine and coarse roots in shallow slope stability and soil erosion control with a focus on root system architecture: a review’, Trees, 21, (4), pp. 385–402. https://doi.org/10.1007/s00468-007-0132-4</w:t>
      </w:r>
    </w:p>
    <w:p w14:paraId="7C453CB8" w14:textId="77777777" w:rsidR="00084B26" w:rsidRPr="009934C9" w:rsidRDefault="00000000">
      <w:pPr>
        <w:spacing w:after="60" w:line="240" w:lineRule="auto"/>
        <w:ind w:left="369" w:hanging="369"/>
        <w:jc w:val="both"/>
        <w:rPr>
          <w:lang w:val="en-US"/>
        </w:rPr>
      </w:pPr>
      <w:r w:rsidRPr="009934C9">
        <w:rPr>
          <w:rFonts w:ascii="Arial" w:hAnsi="Arial"/>
          <w:lang w:val="en-US"/>
        </w:rPr>
        <w:t>Song, X.; Tan, Y. y Lu, Y. (</w:t>
      </w:r>
      <w:proofErr w:type="gramStart"/>
      <w:r w:rsidRPr="009934C9">
        <w:rPr>
          <w:rFonts w:ascii="Arial" w:hAnsi="Arial"/>
          <w:lang w:val="en-US"/>
        </w:rPr>
        <w:t>2024) ‘</w:t>
      </w:r>
      <w:proofErr w:type="gramEnd"/>
      <w:r w:rsidRPr="009934C9">
        <w:rPr>
          <w:rFonts w:ascii="Arial" w:hAnsi="Arial"/>
          <w:lang w:val="en-US"/>
        </w:rPr>
        <w:t>Microscopic analyses of the reinforcement mechanism of plant roots in different morphologies on the stability of soil slopes under heavy rainfall’, CATENA, 241, art. 108018. https://doi.org/10.1016/j.catena.2024.108018</w:t>
      </w:r>
    </w:p>
    <w:p w14:paraId="07375635"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Stokes, A.; </w:t>
      </w:r>
      <w:proofErr w:type="spellStart"/>
      <w:r w:rsidRPr="009934C9">
        <w:rPr>
          <w:rFonts w:ascii="Arial" w:hAnsi="Arial"/>
          <w:lang w:val="en-US"/>
        </w:rPr>
        <w:t>Atger</w:t>
      </w:r>
      <w:proofErr w:type="spellEnd"/>
      <w:r w:rsidRPr="009934C9">
        <w:rPr>
          <w:rFonts w:ascii="Arial" w:hAnsi="Arial"/>
          <w:lang w:val="en-US"/>
        </w:rPr>
        <w:t>, C.; Bengough, A.G.; Fourcaud, T. y Sidle, R.C. (2009) ‘Desirable plant root traits for protecting natural and engineered slopes against landslides’, Plant and Soil, 324, (1-2), pp. 1–30. https://doi.org/10.1007/s11104-009-0159-y</w:t>
      </w:r>
    </w:p>
    <w:p w14:paraId="70F2F05D" w14:textId="77777777" w:rsidR="00084B26" w:rsidRPr="009934C9" w:rsidRDefault="00000000">
      <w:pPr>
        <w:spacing w:after="60" w:line="240" w:lineRule="auto"/>
        <w:ind w:left="369" w:hanging="369"/>
        <w:jc w:val="both"/>
        <w:rPr>
          <w:lang w:val="en-US"/>
        </w:rPr>
      </w:pPr>
      <w:r w:rsidRPr="009934C9">
        <w:rPr>
          <w:rFonts w:ascii="Arial" w:hAnsi="Arial"/>
          <w:lang w:val="en-US"/>
        </w:rPr>
        <w:lastRenderedPageBreak/>
        <w:t xml:space="preserve">Stokes, A.; Douglas, G.B.; Fourcaud, T.; </w:t>
      </w:r>
      <w:proofErr w:type="spellStart"/>
      <w:r w:rsidRPr="009934C9">
        <w:rPr>
          <w:rFonts w:ascii="Arial" w:hAnsi="Arial"/>
          <w:lang w:val="en-US"/>
        </w:rPr>
        <w:t>Giadrossich</w:t>
      </w:r>
      <w:proofErr w:type="spellEnd"/>
      <w:r w:rsidRPr="009934C9">
        <w:rPr>
          <w:rFonts w:ascii="Arial" w:hAnsi="Arial"/>
          <w:lang w:val="en-US"/>
        </w:rPr>
        <w:t>, F.; Gillies, C.; Hubble, T. et al. (2014) ‘Ecological mitigation of hillslope instability: ten key issues facing researchers and practitioners’, Plant and Soil, 377, (1-2), pp. 1–23. https://doi.org/10.1007/s11104-014-2044-6</w:t>
      </w:r>
    </w:p>
    <w:p w14:paraId="32FC1A12" w14:textId="77777777" w:rsidR="00084B26" w:rsidRPr="009934C9" w:rsidRDefault="00000000">
      <w:pPr>
        <w:spacing w:after="60" w:line="240" w:lineRule="auto"/>
        <w:ind w:left="369" w:hanging="369"/>
        <w:jc w:val="both"/>
        <w:rPr>
          <w:lang w:val="en-US"/>
        </w:rPr>
      </w:pPr>
      <w:r w:rsidRPr="009934C9">
        <w:rPr>
          <w:rFonts w:ascii="Arial" w:hAnsi="Arial"/>
          <w:lang w:val="en-US"/>
        </w:rPr>
        <w:t>Tao, G.; Guo, L.; Xiao, H.; Chen, Q.; Nimbalkar, S.; Feng, S. et al. (</w:t>
      </w:r>
      <w:proofErr w:type="gramStart"/>
      <w:r w:rsidRPr="009934C9">
        <w:rPr>
          <w:rFonts w:ascii="Arial" w:hAnsi="Arial"/>
          <w:lang w:val="en-US"/>
        </w:rPr>
        <w:t>2025) ‘</w:t>
      </w:r>
      <w:proofErr w:type="gramEnd"/>
      <w:r w:rsidRPr="009934C9">
        <w:rPr>
          <w:rFonts w:ascii="Arial" w:hAnsi="Arial"/>
          <w:lang w:val="en-US"/>
        </w:rPr>
        <w:t>Assessment of Vegetation Cover and Rainfall Infiltration Effects on Slope Stability’, Applied Sciences, 15, (17), art. 9831. https://doi.org/10.3390/app15179831</w:t>
      </w:r>
    </w:p>
    <w:p w14:paraId="0C80E8CD" w14:textId="77777777" w:rsidR="00084B26" w:rsidRPr="009934C9" w:rsidRDefault="00000000">
      <w:pPr>
        <w:spacing w:after="60" w:line="240" w:lineRule="auto"/>
        <w:ind w:left="369" w:hanging="369"/>
        <w:jc w:val="both"/>
        <w:rPr>
          <w:lang w:val="en-US"/>
        </w:rPr>
      </w:pPr>
      <w:proofErr w:type="spellStart"/>
      <w:r w:rsidRPr="009934C9">
        <w:rPr>
          <w:rFonts w:ascii="Arial" w:hAnsi="Arial"/>
          <w:lang w:val="en-US"/>
        </w:rPr>
        <w:t>Tarmidzi</w:t>
      </w:r>
      <w:proofErr w:type="spellEnd"/>
      <w:r w:rsidRPr="009934C9">
        <w:rPr>
          <w:rFonts w:ascii="Arial" w:hAnsi="Arial"/>
          <w:lang w:val="en-US"/>
        </w:rPr>
        <w:t xml:space="preserve">, S.N.A.; Rahman, Z.A.; Masri, I.N.; Osman, N.; Idris, W.M.R.; </w:t>
      </w:r>
      <w:proofErr w:type="spellStart"/>
      <w:r w:rsidRPr="009934C9">
        <w:rPr>
          <w:rFonts w:ascii="Arial" w:hAnsi="Arial"/>
          <w:lang w:val="en-US"/>
        </w:rPr>
        <w:t>Aznan</w:t>
      </w:r>
      <w:proofErr w:type="spellEnd"/>
      <w:r w:rsidRPr="009934C9">
        <w:rPr>
          <w:rFonts w:ascii="Arial" w:hAnsi="Arial"/>
          <w:lang w:val="en-US"/>
        </w:rPr>
        <w:t>, M.E. et al. (2026) ‘A decade of soil bioengineering for erosion control in Malaysia: Progress, challenges, and future directions’, International Journal of Environmental Science and Technology, 23, (4), art. 319. https://doi.org/10.1007/s13762-026-07080-w</w:t>
      </w:r>
    </w:p>
    <w:p w14:paraId="486FC628" w14:textId="77777777" w:rsidR="00084B26" w:rsidRPr="009934C9" w:rsidRDefault="00000000">
      <w:pPr>
        <w:spacing w:after="60" w:line="240" w:lineRule="auto"/>
        <w:ind w:left="369" w:hanging="369"/>
        <w:jc w:val="both"/>
        <w:rPr>
          <w:lang w:val="en-US"/>
        </w:rPr>
      </w:pPr>
      <w:r w:rsidRPr="009934C9">
        <w:rPr>
          <w:rFonts w:ascii="Arial" w:hAnsi="Arial"/>
          <w:lang w:val="en-US"/>
        </w:rPr>
        <w:t>Tawfik, G.M.; Dila, K.A.S.; Mohamed, M.Y.F.; Tam, D.N.H.; Kien, N.D.; Ahmed, A.M. et al. (</w:t>
      </w:r>
      <w:proofErr w:type="gramStart"/>
      <w:r w:rsidRPr="009934C9">
        <w:rPr>
          <w:rFonts w:ascii="Arial" w:hAnsi="Arial"/>
          <w:lang w:val="en-US"/>
        </w:rPr>
        <w:t>2019) ‘</w:t>
      </w:r>
      <w:proofErr w:type="gramEnd"/>
      <w:r w:rsidRPr="009934C9">
        <w:rPr>
          <w:rFonts w:ascii="Arial" w:hAnsi="Arial"/>
          <w:lang w:val="en-US"/>
        </w:rPr>
        <w:t>A step by step guide for conducting a systematic review and meta-analysis with simulation data’, Tropical Medicine and Health, 47, (1), art. 46. https://doi.org/10.1186/s41182-019-0165-6</w:t>
      </w:r>
    </w:p>
    <w:p w14:paraId="0311C387" w14:textId="77777777" w:rsidR="00084B26" w:rsidRPr="009934C9" w:rsidRDefault="00000000">
      <w:pPr>
        <w:spacing w:after="60" w:line="240" w:lineRule="auto"/>
        <w:ind w:left="369" w:hanging="369"/>
        <w:jc w:val="both"/>
        <w:rPr>
          <w:lang w:val="en-US"/>
        </w:rPr>
      </w:pPr>
      <w:r>
        <w:rPr>
          <w:rFonts w:ascii="Arial" w:hAnsi="Arial"/>
        </w:rPr>
        <w:t xml:space="preserve">Tormo, J.; Bochet, E. y García‐Fayos, P. (2007) ‘Roadfill Revegetation in Semiarid Mediterranean Environments. </w:t>
      </w:r>
      <w:r w:rsidRPr="009934C9">
        <w:rPr>
          <w:rFonts w:ascii="Arial" w:hAnsi="Arial"/>
          <w:lang w:val="en-US"/>
        </w:rPr>
        <w:t>Part II: Topsoiling, Species Selection, and Hydroseeding’, Restoration Ecology, 15, (1), pp. 97–102. https://doi.org/10.1111/j.1526-100x.2006.00194.x</w:t>
      </w:r>
    </w:p>
    <w:p w14:paraId="5B86C119" w14:textId="77777777" w:rsidR="00084B26" w:rsidRPr="009934C9" w:rsidRDefault="00000000">
      <w:pPr>
        <w:spacing w:after="60" w:line="240" w:lineRule="auto"/>
        <w:ind w:left="369" w:hanging="369"/>
        <w:jc w:val="both"/>
        <w:rPr>
          <w:lang w:val="en-US"/>
        </w:rPr>
      </w:pPr>
      <w:r w:rsidRPr="009934C9">
        <w:rPr>
          <w:rFonts w:ascii="Arial" w:hAnsi="Arial"/>
          <w:lang w:val="en-US"/>
        </w:rPr>
        <w:t>Wei, S.; Zhang, K.; Liu, C.; Cen, Y. y Xia, J. (</w:t>
      </w:r>
      <w:proofErr w:type="gramStart"/>
      <w:r w:rsidRPr="009934C9">
        <w:rPr>
          <w:rFonts w:ascii="Arial" w:hAnsi="Arial"/>
          <w:lang w:val="en-US"/>
        </w:rPr>
        <w:t>2024) ‘</w:t>
      </w:r>
      <w:proofErr w:type="gramEnd"/>
      <w:r w:rsidRPr="009934C9">
        <w:rPr>
          <w:rFonts w:ascii="Arial" w:hAnsi="Arial"/>
          <w:lang w:val="en-US"/>
        </w:rPr>
        <w:t>Effects of different vegetation components on soil erosion and response to rainfall intensity under simulated rainfall’, CATENA, 235, art. 107652. https://doi.org/10.1016/j.catena.2023.107652</w:t>
      </w:r>
    </w:p>
    <w:p w14:paraId="5BAAB89F" w14:textId="77777777" w:rsidR="00084B26" w:rsidRPr="009934C9" w:rsidRDefault="00000000">
      <w:pPr>
        <w:spacing w:after="60" w:line="240" w:lineRule="auto"/>
        <w:ind w:left="369" w:hanging="369"/>
        <w:jc w:val="both"/>
        <w:rPr>
          <w:lang w:val="en-US"/>
        </w:rPr>
      </w:pPr>
      <w:r w:rsidRPr="009934C9">
        <w:rPr>
          <w:rFonts w:ascii="Arial" w:hAnsi="Arial"/>
          <w:lang w:val="en-US"/>
        </w:rPr>
        <w:t xml:space="preserve">Wen, S.; Wang, J.; Li, Y.; Liu, Y.R. y Shao, M.A. (2023) ‘Earthworms reduce nutrient loss from loess soil slopes under simulated rain’, </w:t>
      </w:r>
      <w:proofErr w:type="spellStart"/>
      <w:r w:rsidRPr="009934C9">
        <w:rPr>
          <w:rFonts w:ascii="Arial" w:hAnsi="Arial"/>
          <w:lang w:val="en-US"/>
        </w:rPr>
        <w:t>Geoderma</w:t>
      </w:r>
      <w:proofErr w:type="spellEnd"/>
      <w:r w:rsidRPr="009934C9">
        <w:rPr>
          <w:rFonts w:ascii="Arial" w:hAnsi="Arial"/>
          <w:lang w:val="en-US"/>
        </w:rPr>
        <w:t>, 438, art. 116654. https://doi.org/10.1016/j.geoderma.2023.116654</w:t>
      </w:r>
    </w:p>
    <w:p w14:paraId="3F7982C1" w14:textId="77777777" w:rsidR="00084B26" w:rsidRPr="009934C9" w:rsidRDefault="00000000">
      <w:pPr>
        <w:spacing w:after="60" w:line="240" w:lineRule="auto"/>
        <w:ind w:left="369" w:hanging="369"/>
        <w:jc w:val="both"/>
        <w:rPr>
          <w:lang w:val="en-US"/>
        </w:rPr>
      </w:pPr>
      <w:r>
        <w:rPr>
          <w:rFonts w:ascii="Arial" w:hAnsi="Arial"/>
        </w:rPr>
        <w:t xml:space="preserve">Xia, L.; Zhao, B.; Luo, T.; Xu, Y.; Guo, S.; Xu, W. et al. </w:t>
      </w:r>
      <w:r w:rsidRPr="009934C9">
        <w:rPr>
          <w:rFonts w:ascii="Arial" w:hAnsi="Arial"/>
          <w:lang w:val="en-US"/>
        </w:rPr>
        <w:t>(2023) ‘Effects of Polyacrylamide, Biochar, and Palm Fiber on Soil Erosion at the Early Stage of Vegetation Concrete Slope Construction’, Sustainability, 15, (7), art. 5744. https://doi.org/10.3390/su15075744</w:t>
      </w:r>
    </w:p>
    <w:p w14:paraId="3399FB88" w14:textId="77777777" w:rsidR="00084B26" w:rsidRPr="009934C9" w:rsidRDefault="00000000">
      <w:pPr>
        <w:spacing w:after="60" w:line="240" w:lineRule="auto"/>
        <w:ind w:left="369" w:hanging="369"/>
        <w:jc w:val="both"/>
        <w:rPr>
          <w:lang w:val="en-US"/>
        </w:rPr>
      </w:pPr>
      <w:r w:rsidRPr="009934C9">
        <w:rPr>
          <w:rFonts w:ascii="Arial" w:hAnsi="Arial"/>
          <w:lang w:val="en-US"/>
        </w:rPr>
        <w:t>Xu, Q.; Jiao, J.; Zhang, Z.; Li, M.; Yan, X.; Chen, Y. et al. (</w:t>
      </w:r>
      <w:proofErr w:type="gramStart"/>
      <w:r w:rsidRPr="009934C9">
        <w:rPr>
          <w:rFonts w:ascii="Arial" w:hAnsi="Arial"/>
          <w:lang w:val="en-US"/>
        </w:rPr>
        <w:t>2024) ‘</w:t>
      </w:r>
      <w:proofErr w:type="gramEnd"/>
      <w:r w:rsidRPr="009934C9">
        <w:rPr>
          <w:rFonts w:ascii="Arial" w:hAnsi="Arial"/>
          <w:lang w:val="en-US"/>
        </w:rPr>
        <w:t>Functional connectivity related to road linear erosion at rainfall event scale in an agricultural watershed on the Loess Plateau’, CATENA, 243, art. 108170. https://doi.org/10.1016/j.catena.2024.108170</w:t>
      </w:r>
    </w:p>
    <w:p w14:paraId="35536CF2" w14:textId="77777777" w:rsidR="00084B26" w:rsidRPr="009934C9" w:rsidRDefault="00000000">
      <w:pPr>
        <w:spacing w:after="60" w:line="240" w:lineRule="auto"/>
        <w:ind w:left="369" w:hanging="369"/>
        <w:jc w:val="both"/>
        <w:rPr>
          <w:lang w:val="en-US"/>
        </w:rPr>
      </w:pPr>
      <w:r>
        <w:rPr>
          <w:rFonts w:ascii="Arial" w:hAnsi="Arial"/>
        </w:rPr>
        <w:t xml:space="preserve">Yang, Y.; Liu, H.; Li, H.; Su, S.; Liu, W.; Dong, Y. et al. </w:t>
      </w:r>
      <w:r w:rsidRPr="009934C9">
        <w:rPr>
          <w:rFonts w:ascii="Arial" w:hAnsi="Arial"/>
          <w:lang w:val="en-US"/>
        </w:rPr>
        <w:t>(2022) ‘Evaluation of the Reinforcement Performance of Loess Slopes Affected by Rainfall Infiltration’, Geofluids, 2022, pp. 1–13. https://doi.org/10.1155/2022/5359809</w:t>
      </w:r>
    </w:p>
    <w:p w14:paraId="5C873FE7" w14:textId="77777777" w:rsidR="00084B26" w:rsidRPr="009934C9" w:rsidRDefault="00000000">
      <w:pPr>
        <w:spacing w:after="60" w:line="240" w:lineRule="auto"/>
        <w:ind w:left="369" w:hanging="369"/>
        <w:jc w:val="both"/>
        <w:rPr>
          <w:lang w:val="en-US"/>
        </w:rPr>
      </w:pPr>
      <w:r w:rsidRPr="009934C9">
        <w:rPr>
          <w:rFonts w:ascii="Arial" w:hAnsi="Arial"/>
          <w:lang w:val="en-US"/>
        </w:rPr>
        <w:t>Zhang, N.; Xia, Z.; Li, P.; Chen, Q.; Ke, G.; Yue, F. et al. (</w:t>
      </w:r>
      <w:proofErr w:type="gramStart"/>
      <w:r w:rsidRPr="009934C9">
        <w:rPr>
          <w:rFonts w:ascii="Arial" w:hAnsi="Arial"/>
          <w:lang w:val="en-US"/>
        </w:rPr>
        <w:t>2025) ‘</w:t>
      </w:r>
      <w:proofErr w:type="gramEnd"/>
      <w:r w:rsidRPr="009934C9">
        <w:rPr>
          <w:rFonts w:ascii="Arial" w:hAnsi="Arial"/>
          <w:lang w:val="en-US"/>
        </w:rPr>
        <w:t>The impact of rainfall and slope on hillslope runoff and erosion depending on machine learning’, Frontiers in Environmental Science, 13, art. 1580149. https://doi.org/10.3389/fenvs.2025.1580149</w:t>
      </w:r>
    </w:p>
    <w:p w14:paraId="4BAB5F67" w14:textId="77777777" w:rsidR="00084B26" w:rsidRPr="009934C9" w:rsidRDefault="00000000">
      <w:pPr>
        <w:spacing w:after="60" w:line="240" w:lineRule="auto"/>
        <w:ind w:left="369" w:hanging="369"/>
        <w:jc w:val="both"/>
        <w:rPr>
          <w:lang w:val="en-US"/>
        </w:rPr>
      </w:pPr>
      <w:r w:rsidRPr="009934C9">
        <w:rPr>
          <w:rFonts w:ascii="Arial" w:hAnsi="Arial"/>
          <w:lang w:val="en-US"/>
        </w:rPr>
        <w:t>Zhang, S. y Zhang, K. (2025) ‘Assessing the impact of extreme rainfall and slope surface conditions on runoff and erosion based on a big database in Southwest China’s karst region’, Journal of Hydrology, 659, art. 133273. https://doi.org/10.1016/j.jhydrol.2025.133273</w:t>
      </w:r>
    </w:p>
    <w:p w14:paraId="0877CE22" w14:textId="77777777" w:rsidR="00084B26" w:rsidRPr="009934C9" w:rsidRDefault="00000000">
      <w:pPr>
        <w:spacing w:after="60" w:line="240" w:lineRule="auto"/>
        <w:ind w:left="369" w:hanging="369"/>
        <w:jc w:val="both"/>
        <w:rPr>
          <w:lang w:val="en-US"/>
        </w:rPr>
      </w:pPr>
      <w:r w:rsidRPr="009934C9">
        <w:rPr>
          <w:rFonts w:ascii="Arial" w:hAnsi="Arial"/>
          <w:lang w:val="en-US"/>
        </w:rPr>
        <w:t>Zhang, Z.; Lu, H.; Tang, X.; Liu, K.; Ye, L. y Ma, G. (2024) ‘Field investigation of the feasibility of MICP for Mitigating Natural Rainfall-Induced erosion in gravelly clay slope’, Bulletin of Engineering Geology and the Environment, 83, (10), art. 406. https://doi.org/10.1007/s10064-024-03909-1</w:t>
      </w:r>
    </w:p>
    <w:p w14:paraId="772BAE6A" w14:textId="77777777" w:rsidR="00084B26" w:rsidRPr="009934C9" w:rsidRDefault="00000000">
      <w:pPr>
        <w:spacing w:after="60" w:line="240" w:lineRule="auto"/>
        <w:ind w:left="369" w:hanging="369"/>
        <w:jc w:val="both"/>
        <w:rPr>
          <w:lang w:val="en-US"/>
        </w:rPr>
      </w:pPr>
      <w:r w:rsidRPr="009934C9">
        <w:rPr>
          <w:rFonts w:ascii="Arial" w:hAnsi="Arial"/>
          <w:lang w:val="en-US"/>
        </w:rPr>
        <w:t>Zhao, Y.; Sui, S. y Hai, L. (2025) ‘Effects of Vegetation and Slope Gradient on Rainfall‐Induced Erosion of Reconstructed Iron Tailings Slopes: An Experimental Study’, Land Degradation &amp;amp; Development, 36, (13), pp. 4703–4717. https://doi.org/10.1002/ldr.5663</w:t>
      </w:r>
    </w:p>
    <w:p w14:paraId="61CEFDF6" w14:textId="77777777" w:rsidR="00084B26" w:rsidRPr="009934C9" w:rsidRDefault="00000000">
      <w:pPr>
        <w:spacing w:after="60" w:line="240" w:lineRule="auto"/>
        <w:ind w:left="369" w:hanging="369"/>
        <w:jc w:val="both"/>
        <w:rPr>
          <w:lang w:val="en-US"/>
        </w:rPr>
      </w:pPr>
      <w:r w:rsidRPr="009934C9">
        <w:rPr>
          <w:rFonts w:ascii="Arial" w:hAnsi="Arial"/>
          <w:lang w:val="en-US"/>
        </w:rPr>
        <w:t>Zhuang, Y.; Xing, A.; Jiang, Y.; Sun, Q.; Yan, J. y Zhang, Y. (2022) ‘Typhoon, rainfall and trees jointly cause landslides in coastal regions’, Engineering Geology, 298, art. 106561. https://doi.org/10.1016/j.enggeo.2022.106561</w:t>
      </w:r>
    </w:p>
    <w:sectPr w:rsidR="00084B26" w:rsidRPr="009934C9">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59CE0" w14:textId="77777777" w:rsidR="0087747E" w:rsidRDefault="0087747E" w:rsidP="007A61C1">
      <w:pPr>
        <w:spacing w:after="0" w:line="240" w:lineRule="auto"/>
      </w:pPr>
      <w:r>
        <w:separator/>
      </w:r>
    </w:p>
  </w:endnote>
  <w:endnote w:type="continuationSeparator" w:id="0">
    <w:p w14:paraId="38C6A38E" w14:textId="77777777" w:rsidR="0087747E" w:rsidRDefault="0087747E" w:rsidP="007A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20CAD" w14:textId="77777777" w:rsidR="0087747E" w:rsidRDefault="0087747E" w:rsidP="007A61C1">
      <w:pPr>
        <w:spacing w:after="0" w:line="240" w:lineRule="auto"/>
      </w:pPr>
      <w:r>
        <w:separator/>
      </w:r>
    </w:p>
  </w:footnote>
  <w:footnote w:type="continuationSeparator" w:id="0">
    <w:p w14:paraId="366C135F" w14:textId="77777777" w:rsidR="0087747E" w:rsidRDefault="0087747E" w:rsidP="007A6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1F2C" w14:textId="77777777" w:rsidR="007A61C1" w:rsidRPr="00AE5D6C" w:rsidRDefault="003C438F" w:rsidP="00AE5D6C">
    <w:pPr>
      <w:pStyle w:val="Encabezado"/>
      <w:jc w:val="right"/>
      <w:rPr>
        <w:b/>
        <w:i/>
        <w:color w:val="00B0F0"/>
        <w:lang w:val="es-ES"/>
      </w:rPr>
    </w:pPr>
    <w:r>
      <w:rPr>
        <w:noProof/>
      </w:rPr>
      <w:drawing>
        <wp:inline distT="0" distB="0" distL="0" distR="0" wp14:anchorId="07E06B7A" wp14:editId="2DFFD188">
          <wp:extent cx="1152525" cy="362919"/>
          <wp:effectExtent l="0" t="0" r="0" b="0"/>
          <wp:docPr id="1175810003"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977" cy="367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7C8"/>
    <w:multiLevelType w:val="multilevel"/>
    <w:tmpl w:val="820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20479"/>
    <w:multiLevelType w:val="multilevel"/>
    <w:tmpl w:val="AD2E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A5659"/>
    <w:multiLevelType w:val="hybridMultilevel"/>
    <w:tmpl w:val="96BC359C"/>
    <w:lvl w:ilvl="0" w:tplc="3F3651E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B047257"/>
    <w:multiLevelType w:val="multilevel"/>
    <w:tmpl w:val="7B74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264A5B"/>
    <w:multiLevelType w:val="multilevel"/>
    <w:tmpl w:val="93C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251F1"/>
    <w:multiLevelType w:val="multilevel"/>
    <w:tmpl w:val="B96C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27129E"/>
    <w:multiLevelType w:val="multilevel"/>
    <w:tmpl w:val="D482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243352">
    <w:abstractNumId w:val="0"/>
  </w:num>
  <w:num w:numId="2" w16cid:durableId="1595551521">
    <w:abstractNumId w:val="6"/>
  </w:num>
  <w:num w:numId="3" w16cid:durableId="2058696775">
    <w:abstractNumId w:val="5"/>
  </w:num>
  <w:num w:numId="4" w16cid:durableId="1645040989">
    <w:abstractNumId w:val="4"/>
  </w:num>
  <w:num w:numId="5" w16cid:durableId="2063406518">
    <w:abstractNumId w:val="3"/>
  </w:num>
  <w:num w:numId="6" w16cid:durableId="1871794715">
    <w:abstractNumId w:val="1"/>
  </w:num>
  <w:num w:numId="7" w16cid:durableId="1271401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1C1"/>
    <w:rsid w:val="00032812"/>
    <w:rsid w:val="00033FAA"/>
    <w:rsid w:val="00084B26"/>
    <w:rsid w:val="000F656C"/>
    <w:rsid w:val="001045AF"/>
    <w:rsid w:val="002131AA"/>
    <w:rsid w:val="0021638F"/>
    <w:rsid w:val="00256B8D"/>
    <w:rsid w:val="00287BA3"/>
    <w:rsid w:val="002F225B"/>
    <w:rsid w:val="002F50D4"/>
    <w:rsid w:val="00302168"/>
    <w:rsid w:val="00305444"/>
    <w:rsid w:val="00353BB1"/>
    <w:rsid w:val="00377664"/>
    <w:rsid w:val="003C438F"/>
    <w:rsid w:val="003C6515"/>
    <w:rsid w:val="00457E67"/>
    <w:rsid w:val="0049377D"/>
    <w:rsid w:val="004E1953"/>
    <w:rsid w:val="00524E87"/>
    <w:rsid w:val="0057333F"/>
    <w:rsid w:val="0063605F"/>
    <w:rsid w:val="006A0576"/>
    <w:rsid w:val="00721F7D"/>
    <w:rsid w:val="007802EF"/>
    <w:rsid w:val="00783327"/>
    <w:rsid w:val="007A2395"/>
    <w:rsid w:val="007A61C1"/>
    <w:rsid w:val="00800C23"/>
    <w:rsid w:val="0087747E"/>
    <w:rsid w:val="008B6494"/>
    <w:rsid w:val="008C5AE0"/>
    <w:rsid w:val="008D75C1"/>
    <w:rsid w:val="00917011"/>
    <w:rsid w:val="009934C9"/>
    <w:rsid w:val="00AC1A7C"/>
    <w:rsid w:val="00AD56E2"/>
    <w:rsid w:val="00AE5D6C"/>
    <w:rsid w:val="00AF429F"/>
    <w:rsid w:val="00B33AB5"/>
    <w:rsid w:val="00B56654"/>
    <w:rsid w:val="00D25926"/>
    <w:rsid w:val="00D87D01"/>
    <w:rsid w:val="00DD0170"/>
    <w:rsid w:val="00DE2F4B"/>
    <w:rsid w:val="00E67112"/>
    <w:rsid w:val="00E71CFF"/>
    <w:rsid w:val="00E90551"/>
    <w:rsid w:val="00E965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C0ED7"/>
  <w15:chartTrackingRefBased/>
  <w15:docId w15:val="{9AD1B82A-B932-4317-A7B7-E5BA0FE4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61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61C1"/>
  </w:style>
  <w:style w:type="paragraph" w:styleId="Piedepgina">
    <w:name w:val="footer"/>
    <w:basedOn w:val="Normal"/>
    <w:link w:val="PiedepginaCar"/>
    <w:uiPriority w:val="99"/>
    <w:unhideWhenUsed/>
    <w:rsid w:val="007A61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61C1"/>
  </w:style>
  <w:style w:type="paragraph" w:styleId="HTMLconformatoprevio">
    <w:name w:val="HTML Preformatted"/>
    <w:basedOn w:val="Normal"/>
    <w:link w:val="HTMLconformatoprevioCar"/>
    <w:uiPriority w:val="99"/>
    <w:semiHidden/>
    <w:unhideWhenUsed/>
    <w:rsid w:val="007A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Cs w:val="20"/>
      <w:lang w:eastAsia="es-CO"/>
    </w:rPr>
  </w:style>
  <w:style w:type="character" w:customStyle="1" w:styleId="HTMLconformatoprevioCar">
    <w:name w:val="HTML con formato previo Car"/>
    <w:basedOn w:val="Fuentedeprrafopredeter"/>
    <w:link w:val="HTMLconformatoprevio"/>
    <w:uiPriority w:val="99"/>
    <w:semiHidden/>
    <w:rsid w:val="007A61C1"/>
    <w:rPr>
      <w:rFonts w:ascii="Courier New" w:eastAsia="Times New Roman" w:hAnsi="Courier New" w:cs="Courier New"/>
      <w:sz w:val="20"/>
      <w:szCs w:val="20"/>
      <w:lang w:eastAsia="es-CO"/>
    </w:rPr>
  </w:style>
  <w:style w:type="paragraph" w:styleId="Prrafodelista">
    <w:name w:val="List Paragraph"/>
    <w:basedOn w:val="Normal"/>
    <w:uiPriority w:val="34"/>
    <w:qFormat/>
    <w:rsid w:val="00B33AB5"/>
    <w:pPr>
      <w:ind w:left="720"/>
      <w:contextualSpacing/>
    </w:pPr>
  </w:style>
  <w:style w:type="character" w:styleId="Hipervnculo">
    <w:name w:val="Hyperlink"/>
    <w:basedOn w:val="Fuentedeprrafopredeter"/>
    <w:uiPriority w:val="99"/>
    <w:unhideWhenUsed/>
    <w:rsid w:val="004E1953"/>
    <w:rPr>
      <w:color w:val="0563C1" w:themeColor="hyperlink"/>
      <w:u w:val="single"/>
    </w:rPr>
  </w:style>
  <w:style w:type="character" w:styleId="Hipervnculovisitado">
    <w:name w:val="FollowedHyperlink"/>
    <w:basedOn w:val="Fuentedeprrafopredeter"/>
    <w:uiPriority w:val="99"/>
    <w:semiHidden/>
    <w:unhideWhenUsed/>
    <w:rsid w:val="004E1953"/>
    <w:rPr>
      <w:color w:val="954F72" w:themeColor="followedHyperlink"/>
      <w:u w:val="single"/>
    </w:rPr>
  </w:style>
  <w:style w:type="character" w:styleId="Mencinsinresolver">
    <w:name w:val="Unresolved Mention"/>
    <w:basedOn w:val="Fuentedeprrafopredeter"/>
    <w:uiPriority w:val="99"/>
    <w:semiHidden/>
    <w:unhideWhenUsed/>
    <w:rsid w:val="0037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812988">
      <w:bodyDiv w:val="1"/>
      <w:marLeft w:val="0"/>
      <w:marRight w:val="0"/>
      <w:marTop w:val="0"/>
      <w:marBottom w:val="0"/>
      <w:divBdr>
        <w:top w:val="none" w:sz="0" w:space="0" w:color="auto"/>
        <w:left w:val="none" w:sz="0" w:space="0" w:color="auto"/>
        <w:bottom w:val="none" w:sz="0" w:space="0" w:color="auto"/>
        <w:right w:val="none" w:sz="0" w:space="0" w:color="auto"/>
      </w:divBdr>
    </w:div>
    <w:div w:id="142464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21</Pages>
  <Words>12022</Words>
  <Characters>66122</Characters>
  <Application>Microsoft Office Word</Application>
  <DocSecurity>0</DocSecurity>
  <Lines>551</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BIOINGENIERÍA Y SOLUCIONES BASADAS EN LA NATURALEZA PARA ESTABILIZAR TALUDES CARRETEROS BAJO LLUVIAS EXTREMAS: REVISIÓN ESTRUCTURADA DE DESEMPEÑO, MANTENIMIENTO Y ESCALABILIDAD</dc:title>
  <dc:subject>Versión corregida en respuesta a revisores, envío UNAD 11964</dc:subject>
  <dc:creator>Gabriel Jesús Montúfar Chiriboga</dc:creator>
  <cp:keywords>bioingeniería de suelos; soluciones basadas en la naturaleza; estabilidad de taludes; carreteras; lluvias extremas; mantenimiento</cp:keywords>
  <dc:description>Corrección editorial del 22 de septiembre de 2026; sin reconstrucción retrospectiva de conteos PRISMA.</dc:description>
  <cp:lastModifiedBy>Amaimen Amador Guillen Pacheco</cp:lastModifiedBy>
  <cp:revision>21</cp:revision>
  <dcterms:created xsi:type="dcterms:W3CDTF">2026-03-05T18:47:00Z</dcterms:created>
  <dcterms:modified xsi:type="dcterms:W3CDTF">2026-09-23T19:11:00Z</dcterms:modified>
</cp:coreProperties>
</file>