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20B97" w14:textId="7F1C1837" w:rsidR="00E9624B" w:rsidRPr="002019EB" w:rsidRDefault="00192ACB" w:rsidP="007A61C1">
      <w:pPr>
        <w:jc w:val="center"/>
        <w:rPr>
          <w:rFonts w:ascii="Verdana" w:hAnsi="Verdana"/>
          <w:b/>
          <w:sz w:val="24"/>
          <w:szCs w:val="24"/>
        </w:rPr>
      </w:pPr>
      <w:r w:rsidRPr="002019EB">
        <w:rPr>
          <w:rFonts w:ascii="Verdana" w:hAnsi="Verdana"/>
          <w:b/>
          <w:sz w:val="24"/>
          <w:szCs w:val="24"/>
        </w:rPr>
        <w:t xml:space="preserve">Desarrollo y validación de un sistema de apoyo diagnóstico para la detección de nódulos pulmonares en tomografía computarizada mediante </w:t>
      </w:r>
      <w:r>
        <w:rPr>
          <w:rFonts w:ascii="Verdana" w:hAnsi="Verdana"/>
          <w:b/>
          <w:sz w:val="24"/>
          <w:szCs w:val="24"/>
        </w:rPr>
        <w:t>aprendizaje profundo</w:t>
      </w:r>
    </w:p>
    <w:p w14:paraId="0476A1B7" w14:textId="19EB5A50" w:rsidR="002019EB" w:rsidRDefault="00192ACB" w:rsidP="007A61C1">
      <w:pPr>
        <w:spacing w:after="0" w:line="240" w:lineRule="auto"/>
        <w:rPr>
          <w:rFonts w:ascii="Verdana" w:hAnsi="Verdana"/>
          <w:b/>
          <w:sz w:val="24"/>
          <w:szCs w:val="24"/>
          <w:lang w:val="en-US"/>
        </w:rPr>
      </w:pPr>
      <w:r w:rsidRPr="002019EB">
        <w:rPr>
          <w:rFonts w:ascii="Verdana" w:hAnsi="Verdana"/>
          <w:b/>
          <w:sz w:val="24"/>
          <w:szCs w:val="24"/>
          <w:lang w:val="en-US"/>
        </w:rPr>
        <w:t>Development and validation of a deep learning-based diagnostic support system for pulmonary nodule detection in computed tomography</w:t>
      </w:r>
    </w:p>
    <w:p w14:paraId="223AD65C" w14:textId="77777777" w:rsidR="002019EB" w:rsidRDefault="002019EB" w:rsidP="007A61C1">
      <w:pPr>
        <w:spacing w:after="0" w:line="240" w:lineRule="auto"/>
        <w:rPr>
          <w:rFonts w:ascii="Verdana" w:hAnsi="Verdana"/>
          <w:b/>
          <w:sz w:val="24"/>
          <w:szCs w:val="24"/>
          <w:lang w:val="en-US"/>
        </w:rPr>
      </w:pPr>
    </w:p>
    <w:p w14:paraId="2385DDF6" w14:textId="56269BFB" w:rsidR="00E9624B" w:rsidRPr="00192ACB" w:rsidRDefault="00E9624B" w:rsidP="007A61C1">
      <w:pPr>
        <w:spacing w:after="0" w:line="240" w:lineRule="auto"/>
        <w:rPr>
          <w:rFonts w:ascii="Verdana" w:hAnsi="Verdana"/>
          <w:lang w:val="es-MX"/>
        </w:rPr>
      </w:pPr>
      <w:r w:rsidRPr="00192ACB">
        <w:rPr>
          <w:rFonts w:ascii="Verdana" w:hAnsi="Verdana"/>
          <w:lang w:val="es-MX"/>
        </w:rPr>
        <w:t>Gabriel Jaime Duarte López</w:t>
      </w:r>
    </w:p>
    <w:p w14:paraId="61A0D8B8" w14:textId="77777777" w:rsidR="00E9624B" w:rsidRPr="0082123C" w:rsidRDefault="00E9624B" w:rsidP="007A61C1">
      <w:pPr>
        <w:spacing w:after="0" w:line="240" w:lineRule="auto"/>
        <w:rPr>
          <w:rFonts w:ascii="Verdana" w:hAnsi="Verdana"/>
        </w:rPr>
      </w:pPr>
      <w:r w:rsidRPr="0082123C">
        <w:rPr>
          <w:rFonts w:ascii="Verdana" w:hAnsi="Verdana"/>
        </w:rPr>
        <w:t>Estudiante del Programa de Ingeniería Electrónica, Universidad Santo Tomás</w:t>
      </w:r>
      <w:r w:rsidR="00154EF7" w:rsidRPr="0082123C">
        <w:rPr>
          <w:rFonts w:ascii="Verdana" w:hAnsi="Verdana"/>
        </w:rPr>
        <w:t>, Bogotá D.C., Colombia</w:t>
      </w:r>
    </w:p>
    <w:p w14:paraId="72A6E714" w14:textId="77777777" w:rsidR="007A61C1" w:rsidRPr="0082123C" w:rsidRDefault="00CD0202" w:rsidP="00CD0202">
      <w:pPr>
        <w:spacing w:after="0" w:line="240" w:lineRule="auto"/>
        <w:rPr>
          <w:rFonts w:ascii="Verdana" w:hAnsi="Verdana"/>
        </w:rPr>
      </w:pPr>
      <w:hyperlink r:id="rId8" w:history="1">
        <w:r w:rsidRPr="0082123C">
          <w:rPr>
            <w:rStyle w:val="Hipervnculo"/>
            <w:rFonts w:ascii="Verdana" w:hAnsi="Verdana"/>
          </w:rPr>
          <w:t>https://orcid.org/0009-0000-7546-4131</w:t>
        </w:r>
      </w:hyperlink>
      <w:r w:rsidRPr="0082123C">
        <w:rPr>
          <w:rFonts w:ascii="Verdana" w:hAnsi="Verdana"/>
        </w:rPr>
        <w:t xml:space="preserve">   </w:t>
      </w:r>
    </w:p>
    <w:p w14:paraId="07FBDB1D" w14:textId="77777777" w:rsidR="00800C23" w:rsidRPr="0082123C" w:rsidRDefault="00121870" w:rsidP="007A61C1">
      <w:pPr>
        <w:spacing w:after="0" w:line="240" w:lineRule="auto"/>
        <w:rPr>
          <w:rFonts w:ascii="Verdana" w:hAnsi="Verdana"/>
        </w:rPr>
      </w:pPr>
      <w:hyperlink r:id="rId9" w:history="1">
        <w:r w:rsidRPr="0082123C">
          <w:rPr>
            <w:rStyle w:val="Hipervnculo"/>
            <w:rFonts w:ascii="Verdana" w:hAnsi="Verdana"/>
          </w:rPr>
          <w:t>Gabrielduarte</w:t>
        </w:r>
        <w:r w:rsidR="00B40E2C">
          <w:rPr>
            <w:rStyle w:val="Hipervnculo"/>
            <w:rFonts w:ascii="Verdana" w:hAnsi="Verdana"/>
          </w:rPr>
          <w:t>l</w:t>
        </w:r>
        <w:r w:rsidRPr="0082123C">
          <w:rPr>
            <w:rStyle w:val="Hipervnculo"/>
            <w:rFonts w:ascii="Verdana" w:hAnsi="Verdana"/>
          </w:rPr>
          <w:t>@usantotomas.edu.co</w:t>
        </w:r>
      </w:hyperlink>
      <w:r w:rsidRPr="0082123C">
        <w:rPr>
          <w:rFonts w:ascii="Verdana" w:hAnsi="Verdana"/>
        </w:rPr>
        <w:t xml:space="preserve"> </w:t>
      </w:r>
    </w:p>
    <w:p w14:paraId="641189ED" w14:textId="77777777" w:rsidR="00121870" w:rsidRPr="0082123C" w:rsidRDefault="00121870" w:rsidP="007A61C1">
      <w:pPr>
        <w:spacing w:after="0" w:line="240" w:lineRule="auto"/>
        <w:rPr>
          <w:rFonts w:ascii="Verdana" w:hAnsi="Verdana"/>
        </w:rPr>
      </w:pPr>
    </w:p>
    <w:p w14:paraId="0FE53140" w14:textId="77777777" w:rsidR="00E9624B" w:rsidRPr="0082123C" w:rsidRDefault="00E9624B" w:rsidP="00800C23">
      <w:pPr>
        <w:spacing w:after="0" w:line="240" w:lineRule="auto"/>
        <w:rPr>
          <w:rFonts w:ascii="Verdana" w:hAnsi="Verdana"/>
        </w:rPr>
      </w:pPr>
      <w:r w:rsidRPr="0082123C">
        <w:rPr>
          <w:rFonts w:ascii="Verdana" w:hAnsi="Verdana"/>
        </w:rPr>
        <w:t>Camilo José Cifuentes Garzón</w:t>
      </w:r>
    </w:p>
    <w:p w14:paraId="669F2A28" w14:textId="77777777" w:rsidR="00154EF7" w:rsidRPr="0082123C" w:rsidRDefault="00154EF7" w:rsidP="00800C23">
      <w:pPr>
        <w:spacing w:after="0" w:line="240" w:lineRule="auto"/>
        <w:rPr>
          <w:rFonts w:ascii="Verdana" w:hAnsi="Verdana"/>
        </w:rPr>
      </w:pPr>
      <w:r w:rsidRPr="0082123C">
        <w:rPr>
          <w:rFonts w:ascii="Verdana" w:hAnsi="Verdana"/>
        </w:rPr>
        <w:t>Estudiante del Programa de Ingeniería Electrónica, Universidad Santo Tomás, Bogotá D.C., Colombia</w:t>
      </w:r>
    </w:p>
    <w:p w14:paraId="03212C6F" w14:textId="77777777" w:rsidR="00E9624B" w:rsidRPr="0082123C" w:rsidRDefault="00E9624B" w:rsidP="00800C23">
      <w:pPr>
        <w:spacing w:after="0" w:line="240" w:lineRule="auto"/>
        <w:rPr>
          <w:rFonts w:ascii="Verdana" w:hAnsi="Verdana"/>
        </w:rPr>
      </w:pPr>
      <w:hyperlink r:id="rId10" w:history="1">
        <w:r w:rsidRPr="0082123C">
          <w:rPr>
            <w:rStyle w:val="Hipervnculo"/>
            <w:rFonts w:ascii="Verdana" w:hAnsi="Verdana"/>
          </w:rPr>
          <w:t>https://orcid.org/0009-0001-0974-1660</w:t>
        </w:r>
      </w:hyperlink>
    </w:p>
    <w:p w14:paraId="2AB24105" w14:textId="77777777" w:rsidR="00800C23" w:rsidRDefault="00E9624B" w:rsidP="00800C23">
      <w:pPr>
        <w:spacing w:after="0" w:line="240" w:lineRule="auto"/>
        <w:rPr>
          <w:rFonts w:ascii="Verdana" w:hAnsi="Verdana"/>
        </w:rPr>
      </w:pPr>
      <w:hyperlink r:id="rId11" w:history="1">
        <w:r w:rsidRPr="0082123C">
          <w:rPr>
            <w:rStyle w:val="Hipervnculo"/>
            <w:rFonts w:ascii="Verdana" w:hAnsi="Verdana"/>
          </w:rPr>
          <w:t>camilocifuentesg@usantotomas.edu.co</w:t>
        </w:r>
      </w:hyperlink>
      <w:r w:rsidRPr="0082123C">
        <w:rPr>
          <w:rFonts w:ascii="Verdana" w:hAnsi="Verdana"/>
        </w:rPr>
        <w:t xml:space="preserve"> </w:t>
      </w:r>
    </w:p>
    <w:p w14:paraId="1375141E" w14:textId="77777777" w:rsidR="009440C9" w:rsidRDefault="009440C9" w:rsidP="00800C23">
      <w:pPr>
        <w:spacing w:after="0" w:line="240" w:lineRule="auto"/>
        <w:rPr>
          <w:rFonts w:ascii="Verdana" w:hAnsi="Verdana"/>
        </w:rPr>
      </w:pPr>
    </w:p>
    <w:p w14:paraId="0D918F54" w14:textId="77777777" w:rsidR="009440C9" w:rsidRDefault="009440C9" w:rsidP="00800C23">
      <w:pPr>
        <w:spacing w:after="0" w:line="240" w:lineRule="auto"/>
        <w:rPr>
          <w:rFonts w:ascii="Verdana" w:hAnsi="Verdana"/>
        </w:rPr>
      </w:pPr>
      <w:r w:rsidRPr="009440C9">
        <w:rPr>
          <w:rFonts w:ascii="Verdana" w:hAnsi="Verdana"/>
        </w:rPr>
        <w:t>Oscar Mauricio Gelvez Lizaraso</w:t>
      </w:r>
    </w:p>
    <w:p w14:paraId="2434477C" w14:textId="47D4D666" w:rsidR="009440C9" w:rsidRDefault="00F3263F" w:rsidP="009440C9">
      <w:pPr>
        <w:spacing w:after="0" w:line="240" w:lineRule="auto"/>
        <w:rPr>
          <w:rFonts w:ascii="Verdana" w:hAnsi="Verdana"/>
        </w:rPr>
      </w:pPr>
      <w:r w:rsidRPr="00F3263F">
        <w:rPr>
          <w:rFonts w:ascii="Verdana" w:hAnsi="Verdana"/>
        </w:rPr>
        <w:t xml:space="preserve">Magíster en Ingeniería </w:t>
      </w:r>
      <w:r w:rsidR="00CB5C95" w:rsidRPr="00F3263F">
        <w:rPr>
          <w:rFonts w:ascii="Verdana" w:hAnsi="Verdana"/>
        </w:rPr>
        <w:t>Electrónica</w:t>
      </w:r>
      <w:r w:rsidR="00CB5C95">
        <w:rPr>
          <w:rFonts w:ascii="Verdana" w:hAnsi="Verdana"/>
        </w:rPr>
        <w:t>,</w:t>
      </w:r>
      <w:r w:rsidR="009440C9" w:rsidRPr="0082123C">
        <w:rPr>
          <w:rFonts w:ascii="Verdana" w:hAnsi="Verdana"/>
        </w:rPr>
        <w:t xml:space="preserve"> Universidad Santo Tomás, Bogotá D.C., Colombia</w:t>
      </w:r>
    </w:p>
    <w:p w14:paraId="04A71BD8" w14:textId="77777777" w:rsidR="006B7235" w:rsidRDefault="006B7235" w:rsidP="009440C9">
      <w:pPr>
        <w:spacing w:after="0" w:line="240" w:lineRule="auto"/>
        <w:rPr>
          <w:rFonts w:ascii="Verdana" w:hAnsi="Verdana"/>
        </w:rPr>
      </w:pPr>
      <w:hyperlink r:id="rId12" w:history="1">
        <w:r w:rsidRPr="00383E93">
          <w:rPr>
            <w:rStyle w:val="Hipervnculo"/>
            <w:rFonts w:ascii="Verdana" w:hAnsi="Verdana"/>
          </w:rPr>
          <w:t>https://orcid.org/0000-0001-6858-5293</w:t>
        </w:r>
      </w:hyperlink>
      <w:r>
        <w:rPr>
          <w:rFonts w:ascii="Verdana" w:hAnsi="Verdana"/>
        </w:rPr>
        <w:t xml:space="preserve"> </w:t>
      </w:r>
    </w:p>
    <w:p w14:paraId="19E3DF00" w14:textId="77777777" w:rsidR="009440C9" w:rsidRPr="009440C9" w:rsidRDefault="009440C9" w:rsidP="00800C23">
      <w:pPr>
        <w:spacing w:after="0" w:line="240" w:lineRule="auto"/>
        <w:rPr>
          <w:rFonts w:ascii="Verdana" w:hAnsi="Verdana"/>
        </w:rPr>
      </w:pPr>
      <w:hyperlink r:id="rId13" w:history="1">
        <w:r w:rsidRPr="00B74CD6">
          <w:rPr>
            <w:rStyle w:val="Hipervnculo"/>
            <w:rFonts w:ascii="Verdana" w:hAnsi="Verdana"/>
          </w:rPr>
          <w:t>oscargelvez@usta.edu.co</w:t>
        </w:r>
      </w:hyperlink>
      <w:r>
        <w:rPr>
          <w:rFonts w:ascii="Verdana" w:hAnsi="Verdana"/>
        </w:rPr>
        <w:t xml:space="preserve"> </w:t>
      </w:r>
    </w:p>
    <w:p w14:paraId="55EEB8F3" w14:textId="77777777" w:rsidR="007A61C1" w:rsidRDefault="007A61C1" w:rsidP="007A61C1">
      <w:pPr>
        <w:rPr>
          <w:rFonts w:ascii="Verdana" w:hAnsi="Verdana"/>
          <w:sz w:val="24"/>
          <w:szCs w:val="24"/>
        </w:rPr>
      </w:pPr>
    </w:p>
    <w:p w14:paraId="423A13B9" w14:textId="77777777" w:rsidR="009440C9" w:rsidRDefault="009440C9" w:rsidP="009440C9">
      <w:pPr>
        <w:spacing w:after="0" w:line="240" w:lineRule="auto"/>
        <w:rPr>
          <w:rFonts w:ascii="Verdana" w:hAnsi="Verdana"/>
        </w:rPr>
      </w:pPr>
      <w:r w:rsidRPr="009440C9">
        <w:rPr>
          <w:rFonts w:ascii="Verdana" w:hAnsi="Verdana"/>
        </w:rPr>
        <w:t>John Monzaide Álvarez Cely</w:t>
      </w:r>
    </w:p>
    <w:p w14:paraId="49138B0E" w14:textId="77777777" w:rsidR="00491767" w:rsidRDefault="00491767" w:rsidP="009440C9">
      <w:pPr>
        <w:spacing w:after="0" w:line="240" w:lineRule="auto"/>
        <w:rPr>
          <w:rFonts w:ascii="Verdana" w:hAnsi="Verdana"/>
        </w:rPr>
      </w:pPr>
      <w:r w:rsidRPr="00491767">
        <w:rPr>
          <w:rFonts w:ascii="Verdana" w:hAnsi="Verdana"/>
        </w:rPr>
        <w:t>Ingeniero Mecatrónico, Docente del Programa de Ingeniería Electrónica, Universidad Santo Tomás, Bogotá D.C., Colombia.</w:t>
      </w:r>
    </w:p>
    <w:p w14:paraId="0DCA72AD" w14:textId="77777777" w:rsidR="006B7235" w:rsidRDefault="006B7235" w:rsidP="009440C9">
      <w:pPr>
        <w:spacing w:after="0" w:line="240" w:lineRule="auto"/>
        <w:rPr>
          <w:rFonts w:ascii="Verdana" w:hAnsi="Verdana"/>
        </w:rPr>
      </w:pPr>
      <w:hyperlink r:id="rId14" w:history="1">
        <w:r w:rsidRPr="00383E93">
          <w:rPr>
            <w:rStyle w:val="Hipervnculo"/>
            <w:rFonts w:ascii="Verdana" w:hAnsi="Verdana"/>
          </w:rPr>
          <w:t>https://orcid.org/0000-0003-0371-2647</w:t>
        </w:r>
      </w:hyperlink>
      <w:r>
        <w:rPr>
          <w:rFonts w:ascii="Verdana" w:hAnsi="Verdana"/>
        </w:rPr>
        <w:t xml:space="preserve"> </w:t>
      </w:r>
    </w:p>
    <w:p w14:paraId="2A9E217A" w14:textId="77777777" w:rsidR="009440C9" w:rsidRPr="009440C9" w:rsidRDefault="009440C9" w:rsidP="009440C9">
      <w:pPr>
        <w:spacing w:after="0" w:line="240" w:lineRule="auto"/>
        <w:rPr>
          <w:rFonts w:ascii="Verdana" w:hAnsi="Verdana"/>
        </w:rPr>
      </w:pPr>
      <w:hyperlink r:id="rId15" w:history="1">
        <w:r w:rsidRPr="00383E93">
          <w:rPr>
            <w:rStyle w:val="Hipervnculo"/>
            <w:rFonts w:ascii="Verdana" w:hAnsi="Verdana"/>
          </w:rPr>
          <w:t>john.celyalv@usta.edu.co</w:t>
        </w:r>
      </w:hyperlink>
      <w:r>
        <w:rPr>
          <w:rFonts w:ascii="Verdana" w:hAnsi="Verdana"/>
        </w:rPr>
        <w:t xml:space="preserve"> </w:t>
      </w:r>
    </w:p>
    <w:p w14:paraId="0F771BDE" w14:textId="77777777" w:rsidR="009440C9" w:rsidRDefault="009440C9" w:rsidP="007A61C1">
      <w:pPr>
        <w:rPr>
          <w:rFonts w:ascii="Verdana" w:hAnsi="Verdana"/>
          <w:sz w:val="24"/>
          <w:szCs w:val="24"/>
        </w:rPr>
      </w:pPr>
    </w:p>
    <w:p w14:paraId="6774BF41" w14:textId="77777777" w:rsidR="007A61C1" w:rsidRPr="007A61C1" w:rsidRDefault="007A61C1" w:rsidP="007A61C1">
      <w:pPr>
        <w:rPr>
          <w:rFonts w:ascii="Verdana" w:hAnsi="Verdana"/>
          <w:b/>
          <w:sz w:val="24"/>
          <w:szCs w:val="24"/>
        </w:rPr>
      </w:pPr>
      <w:r w:rsidRPr="007A61C1">
        <w:rPr>
          <w:rFonts w:ascii="Verdana" w:hAnsi="Verdana"/>
          <w:b/>
          <w:sz w:val="24"/>
          <w:szCs w:val="24"/>
        </w:rPr>
        <w:t>RESUMEN.</w:t>
      </w:r>
    </w:p>
    <w:p w14:paraId="04DA15E1" w14:textId="2B2E3E28" w:rsidR="007A61C1" w:rsidRPr="00366BEA" w:rsidRDefault="002019EB" w:rsidP="00CC5F75">
      <w:pPr>
        <w:jc w:val="both"/>
        <w:rPr>
          <w:rFonts w:ascii="Verdana" w:hAnsi="Verdana"/>
        </w:rPr>
      </w:pPr>
      <w:r w:rsidRPr="002019EB">
        <w:rPr>
          <w:rFonts w:ascii="Verdana" w:hAnsi="Verdana"/>
        </w:rPr>
        <w:t xml:space="preserve">El cáncer de pulmón continúa siendo la principal causa de mortalidad por cáncer a nivel mundial, con aproximadamente 2,5 millones de casos nuevos y 1,8 millones de fallecimientos en 2022. La detección temprana de nódulos pulmonares en tomografía computarizada (TC) mejora significativamente las tasas de supervivencia, pero el análisis manual de cientos de cortes por estudio representa una carga asistencial considerable y conlleva riesgo de omisión de lesiones pequeñas. El presente artículo tiene como objetivo describir el desarrollo y validación de un sistema informático de apoyo diagnóstico para la detección de nódulos pulmonares en imágenes de TC mediante técnicas de aprendizaje profundo. La investigación se desarrolló como un estudio aplicado y experimental utilizando las bases de datos públicas LUNA16 y LIDC-IDRI (888 </w:t>
      </w:r>
      <w:r w:rsidRPr="002019EB">
        <w:rPr>
          <w:rFonts w:ascii="Verdana" w:hAnsi="Verdana"/>
        </w:rPr>
        <w:lastRenderedPageBreak/>
        <w:t>estudios tomográficos). Se implementó un flujo ETL que incluyó normalización de imágenes, preparación de cortes y partición por paciente para evitar fugas de información. Se evaluaron comparativamente arquitecturas de clasificación (ResNet18, EfficientNet-B0) y un sistema final YOLOv8 Triple Ensemble con supresión no máxima tridimensional. Los resultados evidenciaron que el enfoque por paciente ofrece mayor utilidad clínica que la evaluación aislada por corte. El sistema final alcanzó, a nivel de paciente, una exactitud de 93,26%, sensibilidad de 94,59%, especificidad de 91,04%, F1-score de 94,59% y AUC de 0,928, superando el rendimiento reportado por sistemas CAD convencionales y aproximándose a los resultados de arquitecturas tridimensionales especializadas. Se concluye que la herramienta desarrollada muestra potencial como apoyo experimental para priorizar estudios sospechosos, aunque requiere validación clínica externa antes de su uso asistencial</w:t>
      </w:r>
      <w:r>
        <w:rPr>
          <w:rFonts w:ascii="Verdana" w:hAnsi="Verdana"/>
        </w:rPr>
        <w:t>.</w:t>
      </w:r>
    </w:p>
    <w:p w14:paraId="3D86167B" w14:textId="77777777" w:rsidR="007A61C1" w:rsidRPr="00800C23" w:rsidRDefault="007A61C1" w:rsidP="007A61C1">
      <w:pPr>
        <w:rPr>
          <w:rFonts w:ascii="Verdana" w:hAnsi="Verdana"/>
          <w:b/>
          <w:sz w:val="24"/>
          <w:szCs w:val="24"/>
        </w:rPr>
      </w:pPr>
      <w:r w:rsidRPr="00800C23">
        <w:rPr>
          <w:rFonts w:ascii="Verdana" w:hAnsi="Verdana"/>
          <w:b/>
          <w:sz w:val="24"/>
          <w:szCs w:val="24"/>
        </w:rPr>
        <w:t>Palabras Clave.</w:t>
      </w:r>
    </w:p>
    <w:p w14:paraId="5C1939EF" w14:textId="37A1CAD5" w:rsidR="00747E01" w:rsidRPr="00CB5C95" w:rsidRDefault="002019EB" w:rsidP="007A61C1">
      <w:pPr>
        <w:rPr>
          <w:rFonts w:ascii="Verdana" w:hAnsi="Verdana"/>
          <w:b/>
          <w:lang w:val="es-MX"/>
        </w:rPr>
      </w:pPr>
      <w:r w:rsidRPr="002019EB">
        <w:rPr>
          <w:rFonts w:ascii="Verdana" w:hAnsi="Verdana"/>
        </w:rPr>
        <w:t>Nódulos pulmonares; Tomografía computarizada; Aprendizaje profundo; YOLOv8; Diagnóstico asistido por computador (CAD); Detección temprana de cáncer de pulmón</w:t>
      </w:r>
      <w:r w:rsidR="00747E01" w:rsidRPr="00366BEA">
        <w:rPr>
          <w:rFonts w:ascii="Verdana" w:hAnsi="Verdana"/>
        </w:rPr>
        <w:t>.</w:t>
      </w:r>
      <w:r w:rsidR="00747E01" w:rsidRPr="00CB5C95">
        <w:rPr>
          <w:rFonts w:ascii="Verdana" w:hAnsi="Verdana"/>
          <w:b/>
          <w:lang w:val="es-MX"/>
        </w:rPr>
        <w:t xml:space="preserve"> </w:t>
      </w:r>
    </w:p>
    <w:p w14:paraId="4ED06A14" w14:textId="77777777" w:rsidR="00B40E2C" w:rsidRPr="00CB5C95" w:rsidRDefault="00B40E2C" w:rsidP="007A61C1">
      <w:pPr>
        <w:rPr>
          <w:rFonts w:ascii="Verdana" w:hAnsi="Verdana"/>
          <w:b/>
          <w:lang w:val="es-MX"/>
        </w:rPr>
      </w:pPr>
    </w:p>
    <w:p w14:paraId="2C825C74" w14:textId="77777777" w:rsidR="007A61C1" w:rsidRPr="00800C23" w:rsidRDefault="007A61C1" w:rsidP="007A61C1">
      <w:pPr>
        <w:rPr>
          <w:rFonts w:ascii="Verdana" w:hAnsi="Verdana"/>
          <w:b/>
          <w:sz w:val="24"/>
          <w:szCs w:val="24"/>
          <w:lang w:val="en-US"/>
        </w:rPr>
      </w:pPr>
      <w:r w:rsidRPr="00800C23">
        <w:rPr>
          <w:rFonts w:ascii="Verdana" w:hAnsi="Verdana"/>
          <w:b/>
          <w:sz w:val="24"/>
          <w:szCs w:val="24"/>
          <w:lang w:val="en-US"/>
        </w:rPr>
        <w:t>ABSTRACT.</w:t>
      </w:r>
    </w:p>
    <w:p w14:paraId="2021AA28" w14:textId="232EA71E" w:rsidR="00CC5F75" w:rsidRDefault="002019EB" w:rsidP="00CC5F75">
      <w:pPr>
        <w:jc w:val="both"/>
        <w:rPr>
          <w:rFonts w:ascii="Verdana" w:eastAsia="Times New Roman" w:hAnsi="Verdana" w:cs="Courier New"/>
          <w:color w:val="212121"/>
          <w:lang w:val="en-US" w:eastAsia="es-CO"/>
        </w:rPr>
      </w:pPr>
      <w:r w:rsidRPr="002019EB">
        <w:rPr>
          <w:rFonts w:ascii="Verdana" w:eastAsia="Times New Roman" w:hAnsi="Verdana" w:cs="Courier New"/>
          <w:color w:val="212121"/>
          <w:lang w:val="en-US" w:eastAsia="es-CO"/>
        </w:rPr>
        <w:t>Lung cancer remains the leading cause of cancer-related mortality worldwide, with approximately 2.5 million new cases and 1.8 million deaths in 2022. Early detection of pulmonary nodules on computed tomography (CT) significantly improves survival rates, yet manual review of hundreds of slices per study imposes a considerable workload and carries a risk of missing small lesions. This article aims to describe the development and validation of a computer-aided diagnostic support system for pulmonary nodule detection in CT images using deep learning techniques. The research was conducted as an applied and experimental study using the public LUNA16 and LIDC-IDRI datasets (888 CT studies). An ETL pipeline was implemented, including image normalization, slice preparation, and patient-level partitioning to prevent data leakage. Classification architectures (ResNet18, EfficientNet-B0) and a final YOLOv8 Triple Ensemble system with three-dimensional non-maximum suppression were comparatively evaluated. Results showed that patient-level analysis provides greater clinical utility than isolated slice-level evaluation. At patient level, the final system achieved 93.26% accuracy, 94.59% sensitivity, 91.04% specificity, 94.59% F1-score, and 0.928 AUC, outperforming conventional CAD systems and approaching the performance of specialized three-dimensional architectures. It is concluded that the developed tool shows potential as an experimental support system for prioritizing suspicious studies; however, external clinical validation is required before its use in healthcare settings</w:t>
      </w:r>
      <w:r w:rsidR="00CC5F75" w:rsidRPr="00CB5C95">
        <w:rPr>
          <w:rFonts w:ascii="Verdana" w:eastAsia="Times New Roman" w:hAnsi="Verdana" w:cs="Courier New"/>
          <w:color w:val="212121"/>
          <w:lang w:val="en-US" w:eastAsia="es-CO"/>
        </w:rPr>
        <w:t>.</w:t>
      </w:r>
    </w:p>
    <w:p w14:paraId="75225F21" w14:textId="77777777" w:rsidR="002019EB" w:rsidRDefault="002019EB" w:rsidP="00CC5F75">
      <w:pPr>
        <w:jc w:val="both"/>
        <w:rPr>
          <w:rFonts w:ascii="Verdana" w:eastAsia="Times New Roman" w:hAnsi="Verdana" w:cs="Courier New"/>
          <w:color w:val="212121"/>
          <w:lang w:val="en-US" w:eastAsia="es-CO"/>
        </w:rPr>
      </w:pPr>
    </w:p>
    <w:p w14:paraId="51B0810D" w14:textId="77777777" w:rsidR="002019EB" w:rsidRPr="00CB5C95" w:rsidRDefault="002019EB" w:rsidP="00CC5F75">
      <w:pPr>
        <w:jc w:val="both"/>
        <w:rPr>
          <w:rFonts w:ascii="Verdana" w:eastAsia="Times New Roman" w:hAnsi="Verdana" w:cs="Courier New"/>
          <w:color w:val="212121"/>
          <w:lang w:val="en-US" w:eastAsia="es-CO"/>
        </w:rPr>
      </w:pPr>
    </w:p>
    <w:p w14:paraId="4689761B" w14:textId="77777777" w:rsidR="007A61C1" w:rsidRDefault="00800C23" w:rsidP="007A61C1">
      <w:pPr>
        <w:rPr>
          <w:rFonts w:ascii="Verdana" w:hAnsi="Verdana"/>
          <w:b/>
          <w:sz w:val="24"/>
          <w:szCs w:val="24"/>
          <w:lang w:val="en-US"/>
        </w:rPr>
      </w:pPr>
      <w:r w:rsidRPr="00800C23">
        <w:rPr>
          <w:rFonts w:ascii="Verdana" w:hAnsi="Verdana"/>
          <w:b/>
          <w:sz w:val="24"/>
          <w:szCs w:val="24"/>
          <w:lang w:val="en-US"/>
        </w:rPr>
        <w:t>Keywords</w:t>
      </w:r>
      <w:r>
        <w:rPr>
          <w:rFonts w:ascii="Verdana" w:hAnsi="Verdana"/>
          <w:b/>
          <w:sz w:val="24"/>
          <w:szCs w:val="24"/>
          <w:lang w:val="en-US"/>
        </w:rPr>
        <w:t>.</w:t>
      </w:r>
    </w:p>
    <w:p w14:paraId="2284BEC8" w14:textId="33213EBC" w:rsidR="00747E01" w:rsidRPr="00CB5C95" w:rsidRDefault="002019EB" w:rsidP="007A61C1">
      <w:pPr>
        <w:rPr>
          <w:rFonts w:ascii="Verdana" w:eastAsia="Times New Roman" w:hAnsi="Verdana" w:cs="Courier New"/>
          <w:color w:val="212121"/>
          <w:lang w:val="en-US" w:eastAsia="es-CO"/>
        </w:rPr>
      </w:pPr>
      <w:r w:rsidRPr="002019EB">
        <w:rPr>
          <w:rFonts w:ascii="Verdana" w:eastAsia="Times New Roman" w:hAnsi="Verdana" w:cs="Courier New"/>
          <w:color w:val="212121"/>
          <w:lang w:val="en-US" w:eastAsia="es-CO"/>
        </w:rPr>
        <w:t>Pulmonary nodules; Computed tomography; Deep learning; YOLOv8; Computer-aided diagnosis (CAD); Early lung cancer detection</w:t>
      </w:r>
      <w:r w:rsidR="00747E01" w:rsidRPr="00CB5C95">
        <w:rPr>
          <w:rFonts w:ascii="Verdana" w:eastAsia="Times New Roman" w:hAnsi="Verdana" w:cs="Courier New"/>
          <w:color w:val="212121"/>
          <w:lang w:val="en-US" w:eastAsia="es-CO"/>
        </w:rPr>
        <w:t>.</w:t>
      </w:r>
    </w:p>
    <w:p w14:paraId="5997B162" w14:textId="77777777" w:rsidR="00E71CFF" w:rsidRPr="00CB5C95" w:rsidRDefault="00E71CFF" w:rsidP="007A61C1">
      <w:pPr>
        <w:rPr>
          <w:rFonts w:ascii="Verdana" w:hAnsi="Verdana"/>
          <w:b/>
          <w:sz w:val="24"/>
          <w:szCs w:val="24"/>
          <w:lang w:val="es-MX"/>
        </w:rPr>
      </w:pPr>
      <w:r w:rsidRPr="00CB5C95">
        <w:rPr>
          <w:rFonts w:ascii="Verdana" w:hAnsi="Verdana"/>
          <w:b/>
          <w:sz w:val="24"/>
          <w:szCs w:val="24"/>
          <w:lang w:val="es-MX"/>
        </w:rPr>
        <w:t xml:space="preserve">INTRODUCCIÓN. </w:t>
      </w:r>
    </w:p>
    <w:p w14:paraId="2B7CD551" w14:textId="77777777" w:rsidR="00366BEA" w:rsidRPr="00366BEA" w:rsidRDefault="00366BEA" w:rsidP="00366BEA">
      <w:pPr>
        <w:jc w:val="both"/>
        <w:rPr>
          <w:rFonts w:ascii="Verdana" w:hAnsi="Verdana"/>
        </w:rPr>
      </w:pPr>
      <w:r w:rsidRPr="00366BEA">
        <w:rPr>
          <w:rFonts w:ascii="Verdana" w:hAnsi="Verdana"/>
        </w:rPr>
        <w:t>El cáncer de pulmón constituye uno de los principales problemas de salud pública a nivel mundial debido a su alta incidencia, elevada mortalidad y frecuente detección en etapas avanzadas. Según la Organización Mundial de la Salud, en 2022 esta enfermedad fue la principal causa de muerte por cáncer, con aproximadamente 2,5 millones de casos nuevos y 1,8 millones de fallecimientos en el mundo (Organización Mundial de la Salud, 2026). Esta situación evidencia la necesidad de fortalecer estrategias que contribuyan a la detección temprana y al apoyo de los procesos diagnósticos, especialmente en enfermedades donde el tiempo de identificación puede influir directamente en las posibilidades de tratamiento y seguimiento clínico.</w:t>
      </w:r>
    </w:p>
    <w:p w14:paraId="6F1060A9" w14:textId="77777777" w:rsidR="00366BEA" w:rsidRPr="00366BEA" w:rsidRDefault="00366BEA" w:rsidP="00366BEA">
      <w:pPr>
        <w:jc w:val="both"/>
        <w:rPr>
          <w:rFonts w:ascii="Verdana" w:hAnsi="Verdana"/>
        </w:rPr>
      </w:pPr>
      <w:r w:rsidRPr="00366BEA">
        <w:rPr>
          <w:rFonts w:ascii="Verdana" w:hAnsi="Verdana"/>
        </w:rPr>
        <w:t>La tomografía computarizada se ha consolidado como una herramienta fundamental para la evaluación del tórax, debido a que permite visualizar con alto nivel de detalle estructuras pulmonares y detectar hallazgos pequeños, como nódulos pulmonares, que pueden pasar inadvertidos en etapas iniciales. Sin embargo, el análisis de estudios tomográficos representa un desafío para los especialistas, ya que cada paciente puede generar un volumen considerable de cortes, cuya revisión exige tiempo, experiencia y alta concentración. Además, la variabilidad en la interpretación de las imágenes y la carga asistencial pueden aumentar el riesgo de omitir lesiones pequeñas o de clasificar de manera imprecisa hallazgos radiológicos relevantes (Armato et al., 2011).</w:t>
      </w:r>
    </w:p>
    <w:p w14:paraId="6259243C" w14:textId="77777777" w:rsidR="00366BEA" w:rsidRPr="00366BEA" w:rsidRDefault="00366BEA" w:rsidP="00366BEA">
      <w:pPr>
        <w:jc w:val="both"/>
        <w:rPr>
          <w:rFonts w:ascii="Verdana" w:hAnsi="Verdana"/>
        </w:rPr>
      </w:pPr>
      <w:r w:rsidRPr="00366BEA">
        <w:rPr>
          <w:rFonts w:ascii="Verdana" w:hAnsi="Verdana"/>
        </w:rPr>
        <w:t>En este contexto, los sistemas de diagnóstico asistido por computador han adquirido relevancia como herramientas de apoyo para el análisis de imágenes médicas. En particular, las técnicas de aprendizaje profundo permiten extraer automáticamente patrones visuales complejos a partir de grandes volúmenes de datos, reduciendo la dependencia de características diseñadas manualmente. Estudios recientes han mostrado que los modelos basados en redes neuronales profundas pueden contribuir a la detección y segmentación de nódulos pulmonares en imágenes de tomografía computarizada, aunque su desempeño depende de la calidad de los datos, la estrategia de entrenamiento y la validación empleada (Gao et al., 2024).</w:t>
      </w:r>
    </w:p>
    <w:p w14:paraId="10D000EB" w14:textId="77777777" w:rsidR="00366BEA" w:rsidRPr="00366BEA" w:rsidRDefault="00366BEA" w:rsidP="00366BEA">
      <w:pPr>
        <w:jc w:val="both"/>
        <w:rPr>
          <w:rFonts w:ascii="Verdana" w:hAnsi="Verdana"/>
        </w:rPr>
      </w:pPr>
      <w:r w:rsidRPr="00366BEA">
        <w:rPr>
          <w:rFonts w:ascii="Verdana" w:hAnsi="Verdana"/>
        </w:rPr>
        <w:t xml:space="preserve">El desarrollo de este tipo de soluciones requiere conjuntos de datos públicos, anonimizados y suficientemente documentados que permitan entrenar y evaluar modelos computacionales bajo condiciones reproducibles. En este sentido, bases como LIDC-IDRI y LUNA16 han sido ampliamente utilizadas en investigaciones sobre detección automática de nódulos pulmonares, al proporcionar imágenes </w:t>
      </w:r>
      <w:r w:rsidRPr="00366BEA">
        <w:rPr>
          <w:rFonts w:ascii="Verdana" w:hAnsi="Verdana"/>
        </w:rPr>
        <w:lastRenderedPageBreak/>
        <w:t xml:space="preserve">tomográficas y anotaciones de referencia para el desarrollo de sistemas de apoyo diagnóstico (Armato et al., 2011; </w:t>
      </w:r>
      <w:proofErr w:type="spellStart"/>
      <w:r w:rsidRPr="00366BEA">
        <w:rPr>
          <w:rFonts w:ascii="Verdana" w:hAnsi="Verdana"/>
        </w:rPr>
        <w:t>Setio</w:t>
      </w:r>
      <w:proofErr w:type="spellEnd"/>
      <w:r w:rsidRPr="00366BEA">
        <w:rPr>
          <w:rFonts w:ascii="Verdana" w:hAnsi="Verdana"/>
        </w:rPr>
        <w:t xml:space="preserve"> et al., 2017).</w:t>
      </w:r>
    </w:p>
    <w:p w14:paraId="6F55853B" w14:textId="4148088D" w:rsidR="008F1196" w:rsidRPr="00A929F1" w:rsidRDefault="00366BEA" w:rsidP="00366BEA">
      <w:pPr>
        <w:jc w:val="both"/>
        <w:rPr>
          <w:rFonts w:ascii="Verdana" w:hAnsi="Verdana"/>
        </w:rPr>
      </w:pPr>
      <w:r w:rsidRPr="00366BEA">
        <w:rPr>
          <w:rFonts w:ascii="Verdana" w:hAnsi="Verdana"/>
        </w:rPr>
        <w:t>Con base en lo anterior, el presente artículo tiene como objetivo describir el desarrollo y validación de un sistema informático de apoyo diagnóstico para la detección de nódulos pulmonares en imágenes de tomografía computarizada, mediante técnicas de aprendizaje profundo y procesamiento de imágenes médicas. El sistema propuesto se concibe como una herramienta académica y experimental de apoyo al análisis radiológico, sin reemplazar el criterio clínico ni emitir un diagnóstico médico definitivo.</w:t>
      </w:r>
    </w:p>
    <w:p w14:paraId="787A2534" w14:textId="77777777" w:rsidR="008F1196" w:rsidRDefault="008F1196" w:rsidP="00366BEA">
      <w:pPr>
        <w:jc w:val="both"/>
        <w:rPr>
          <w:rFonts w:ascii="Verdana" w:hAnsi="Verdana"/>
          <w:b/>
          <w:sz w:val="24"/>
          <w:szCs w:val="24"/>
        </w:rPr>
      </w:pPr>
    </w:p>
    <w:p w14:paraId="5DC65FCD" w14:textId="3EE5299C" w:rsidR="00D25926" w:rsidRDefault="008F1196" w:rsidP="00366BEA">
      <w:pPr>
        <w:jc w:val="both"/>
        <w:rPr>
          <w:rFonts w:ascii="Verdana" w:hAnsi="Verdana"/>
          <w:b/>
          <w:sz w:val="24"/>
          <w:szCs w:val="24"/>
        </w:rPr>
      </w:pPr>
      <w:r>
        <w:rPr>
          <w:rFonts w:ascii="Verdana" w:hAnsi="Verdana"/>
          <w:b/>
          <w:sz w:val="24"/>
          <w:szCs w:val="24"/>
        </w:rPr>
        <w:t>MATERIALES Y METODOS</w:t>
      </w:r>
    </w:p>
    <w:p w14:paraId="6A313091" w14:textId="77777777" w:rsidR="00EE2A13" w:rsidRPr="00EE2A13" w:rsidRDefault="00EE2A13" w:rsidP="00EE2A13">
      <w:pPr>
        <w:jc w:val="both"/>
        <w:rPr>
          <w:rFonts w:ascii="Verdana" w:hAnsi="Verdana"/>
          <w:bCs/>
        </w:rPr>
      </w:pPr>
      <w:r w:rsidRPr="00EE2A13">
        <w:rPr>
          <w:rFonts w:ascii="Verdana" w:hAnsi="Verdana"/>
          <w:bCs/>
        </w:rPr>
        <w:t>La investigación se desarrolló bajo un enfoque aplicado y experimental, orientado al diseño, entrenamiento y validación de un sistema informático de apoyo diagnóstico para la detección de nódulos pulmonares en imágenes de tomografía computarizada. El proceso metodológico se estructuró en cuatro etapas principales: selección del conjunto de datos, preparación y organización de las imágenes, entrenamiento de modelos de aprendizaje profundo y evaluación del desempeño del sistema final.</w:t>
      </w:r>
    </w:p>
    <w:p w14:paraId="7C210855" w14:textId="77777777" w:rsidR="00EE2A13" w:rsidRPr="00EE2A13" w:rsidRDefault="00EE2A13" w:rsidP="00EE2A13">
      <w:pPr>
        <w:jc w:val="both"/>
        <w:rPr>
          <w:rFonts w:ascii="Verdana" w:hAnsi="Verdana"/>
          <w:bCs/>
        </w:rPr>
      </w:pPr>
      <w:r w:rsidRPr="00EE2A13">
        <w:rPr>
          <w:rFonts w:ascii="Verdana" w:hAnsi="Verdana"/>
          <w:bCs/>
        </w:rPr>
        <w:t xml:space="preserve">El conjunto de datos utilizado correspondió principalmente a LUNA16, una base pública construida a partir de LIDC-IDRI y diseñada para la evaluación de algoritmos de detección de nódulos pulmonares. Esta base fue seleccionada por su uso extendido en investigaciones de inteligencia artificial aplicada a imágenes médicas, por su disponibilidad pública y por contar con anotaciones de referencia asociadas a la localización de nódulos. LUNA16 conserva 888 tomografías computarizadas de tórax, después de excluir estudios con grosor de corte superior a 2,5 mm. El estándar de referencia considera nódulos iguales o superiores a 3 mm aceptados por al menos tres de cuatro radiólogos expertos (Armato et al., 2011; </w:t>
      </w:r>
      <w:proofErr w:type="spellStart"/>
      <w:r w:rsidRPr="00EE2A13">
        <w:rPr>
          <w:rFonts w:ascii="Verdana" w:hAnsi="Verdana"/>
          <w:bCs/>
        </w:rPr>
        <w:t>Setio</w:t>
      </w:r>
      <w:proofErr w:type="spellEnd"/>
      <w:r w:rsidRPr="00EE2A13">
        <w:rPr>
          <w:rFonts w:ascii="Verdana" w:hAnsi="Verdana"/>
          <w:bCs/>
        </w:rPr>
        <w:t xml:space="preserve"> et al., 2017).</w:t>
      </w:r>
    </w:p>
    <w:p w14:paraId="1A49A708" w14:textId="77777777" w:rsidR="00EE2A13" w:rsidRPr="00EE2A13" w:rsidRDefault="00EE2A13" w:rsidP="00EE2A13">
      <w:pPr>
        <w:jc w:val="both"/>
        <w:rPr>
          <w:rFonts w:ascii="Verdana" w:hAnsi="Verdana"/>
          <w:bCs/>
        </w:rPr>
      </w:pPr>
      <w:r w:rsidRPr="00EE2A13">
        <w:rPr>
          <w:rFonts w:ascii="Verdana" w:hAnsi="Verdana"/>
          <w:bCs/>
        </w:rPr>
        <w:t>Desde el punto de vista ético, el estudio no implicó la recolección directa de información clínica ni la intervención sobre pacientes, debido a que se trabajó con imágenes provenientes de repositorios públicos, anonimizados y orientados a investigación. Por tanto, el tratamiento de los datos se realizó bajo criterios de confidencialidad, trazabilidad y uso académico de la información biomédica.</w:t>
      </w:r>
    </w:p>
    <w:p w14:paraId="1699A504" w14:textId="77777777" w:rsidR="00EE2A13" w:rsidRPr="00EE2A13" w:rsidRDefault="00EE2A13" w:rsidP="00EE2A13">
      <w:pPr>
        <w:jc w:val="both"/>
        <w:rPr>
          <w:rFonts w:ascii="Verdana" w:hAnsi="Verdana"/>
          <w:bCs/>
        </w:rPr>
      </w:pPr>
      <w:r w:rsidRPr="00EE2A13">
        <w:rPr>
          <w:rFonts w:ascii="Verdana" w:hAnsi="Verdana"/>
          <w:bCs/>
        </w:rPr>
        <w:t xml:space="preserve">La preparación del conjunto de datos se realizó mediante un flujo ETL. En la fase de extracción se descargaron los subconjuntos de LUNA16 y los archivos complementarios de anotaciones y candidatos. En la fase de transformación se revisó la correspondencia entre estudios, cortes tomográficos y anotaciones, se organizaron las imágenes según la presencia o ausencia de nódulos y se aplicaron procedimientos de normalización y adecuación de entrada. Finalmente, en la fase de carga se construyeron particiones independientes para </w:t>
      </w:r>
      <w:r w:rsidRPr="00EE2A13">
        <w:rPr>
          <w:rFonts w:ascii="Verdana" w:hAnsi="Verdana"/>
          <w:bCs/>
        </w:rPr>
        <w:lastRenderedPageBreak/>
        <w:t>entrenamiento, validación y prueba, procurando evitar fugas de información entre pacientes.</w:t>
      </w:r>
    </w:p>
    <w:p w14:paraId="1F5C4C64" w14:textId="77777777" w:rsidR="00EE2A13" w:rsidRPr="00EE2A13" w:rsidRDefault="00EE2A13" w:rsidP="00EE2A13">
      <w:pPr>
        <w:jc w:val="both"/>
        <w:rPr>
          <w:rFonts w:ascii="Verdana" w:hAnsi="Verdana"/>
          <w:bCs/>
        </w:rPr>
      </w:pPr>
      <w:r w:rsidRPr="00EE2A13">
        <w:rPr>
          <w:rFonts w:ascii="Verdana" w:hAnsi="Verdana"/>
          <w:bCs/>
        </w:rPr>
        <w:t xml:space="preserve">El problema computacional se formuló inicialmente como una tarea de clasificación binaria supervisada, con dos categorías: pacientes con nódulos y pacientes sin nódulos. Para la entrada de los modelos de clasificación, los cortes tomográficos fueron convertidos a formato compatible con arquitecturas </w:t>
      </w:r>
      <w:proofErr w:type="spellStart"/>
      <w:r w:rsidRPr="00EE2A13">
        <w:rPr>
          <w:rFonts w:ascii="Verdana" w:hAnsi="Verdana"/>
          <w:bCs/>
        </w:rPr>
        <w:t>preentrenadas</w:t>
      </w:r>
      <w:proofErr w:type="spellEnd"/>
      <w:r w:rsidRPr="00EE2A13">
        <w:rPr>
          <w:rFonts w:ascii="Verdana" w:hAnsi="Verdana"/>
          <w:bCs/>
        </w:rPr>
        <w:t xml:space="preserve">, redimensionados dinámicamente a 224 × 224 píxeles y normalizados con valores de media y desviación estándar de </w:t>
      </w:r>
      <w:proofErr w:type="spellStart"/>
      <w:r w:rsidRPr="00EE2A13">
        <w:rPr>
          <w:rFonts w:ascii="Verdana" w:hAnsi="Verdana"/>
          <w:bCs/>
        </w:rPr>
        <w:t>ImageNet</w:t>
      </w:r>
      <w:proofErr w:type="spellEnd"/>
      <w:r w:rsidRPr="00EE2A13">
        <w:rPr>
          <w:rFonts w:ascii="Verdana" w:hAnsi="Verdana"/>
          <w:bCs/>
        </w:rPr>
        <w:t>. Debido a que cada paciente puede estar representado por múltiples cortes, se evaluó una representación basada en K cortes tomográficos por paciente, considerando valores como 8, 16 y 32 cortes. Cuando un paciente tenía menos cortes que el valor K definido, se completó la muestra mediante repetición controlada.</w:t>
      </w:r>
    </w:p>
    <w:p w14:paraId="32EB6C2D" w14:textId="77777777" w:rsidR="00EE2A13" w:rsidRPr="00EE2A13" w:rsidRDefault="00EE2A13" w:rsidP="00EE2A13">
      <w:pPr>
        <w:jc w:val="both"/>
        <w:rPr>
          <w:rFonts w:ascii="Verdana" w:hAnsi="Verdana"/>
          <w:bCs/>
        </w:rPr>
      </w:pPr>
      <w:r w:rsidRPr="00EE2A13">
        <w:rPr>
          <w:rFonts w:ascii="Verdana" w:hAnsi="Verdana"/>
          <w:bCs/>
        </w:rPr>
        <w:t>Durante la etapa experimental se evaluaron diferentes arquitecturas y estrategias de aprendizaje profundo. En primer lugar, se implementó ResNet18 mediante transferencia de aprendizaje como modelo base de clasificación. Posteriormente, se incorporó EfficientNet-B0 para explorar una arquitectura con mayor eficiencia en el uso de parámetros. También se evaluaron estrategias de ajuste como optimización del umbral de decisión y uso de Focal Loss para enfrentar el desequilibrio entre clases. Finalmente, se implementó un sistema YOLOv8 Triple Ensemble V31, orientado no solo a clasificar la presencia de nódulos, sino también a localizar regiones sospechosas mediante cajas delimitadoras.</w:t>
      </w:r>
    </w:p>
    <w:p w14:paraId="0CA1B7A4" w14:textId="77777777" w:rsidR="00EE2A13" w:rsidRPr="00EE2A13" w:rsidRDefault="00EE2A13" w:rsidP="00EE2A13">
      <w:pPr>
        <w:jc w:val="both"/>
        <w:rPr>
          <w:rFonts w:ascii="Verdana" w:hAnsi="Verdana"/>
          <w:bCs/>
        </w:rPr>
      </w:pPr>
      <w:r w:rsidRPr="00EE2A13">
        <w:rPr>
          <w:rFonts w:ascii="Verdana" w:hAnsi="Verdana"/>
          <w:bCs/>
        </w:rPr>
        <w:t xml:space="preserve">El entrenamiento de los modelos se realizó utilizando transferencia de aprendizaje, adaptando las capas finales al problema planteado. Se emplearon optimizadores como Adam y </w:t>
      </w:r>
      <w:proofErr w:type="spellStart"/>
      <w:r w:rsidRPr="00EE2A13">
        <w:rPr>
          <w:rFonts w:ascii="Verdana" w:hAnsi="Verdana"/>
          <w:bCs/>
        </w:rPr>
        <w:t>AdamW</w:t>
      </w:r>
      <w:proofErr w:type="spellEnd"/>
      <w:r w:rsidRPr="00EE2A13">
        <w:rPr>
          <w:rFonts w:ascii="Verdana" w:hAnsi="Verdana"/>
          <w:bCs/>
        </w:rPr>
        <w:t xml:space="preserve">, tasas de aprendizaje bajas, regularización mediante </w:t>
      </w:r>
      <w:proofErr w:type="spellStart"/>
      <w:r w:rsidRPr="00EE2A13">
        <w:rPr>
          <w:rFonts w:ascii="Verdana" w:hAnsi="Verdana"/>
          <w:bCs/>
        </w:rPr>
        <w:t>weight</w:t>
      </w:r>
      <w:proofErr w:type="spellEnd"/>
      <w:r w:rsidRPr="00EE2A13">
        <w:rPr>
          <w:rFonts w:ascii="Verdana" w:hAnsi="Verdana"/>
          <w:bCs/>
        </w:rPr>
        <w:t xml:space="preserve"> </w:t>
      </w:r>
      <w:proofErr w:type="spellStart"/>
      <w:r w:rsidRPr="00EE2A13">
        <w:rPr>
          <w:rFonts w:ascii="Verdana" w:hAnsi="Verdana"/>
          <w:bCs/>
        </w:rPr>
        <w:t>decay</w:t>
      </w:r>
      <w:proofErr w:type="spellEnd"/>
      <w:r w:rsidRPr="00EE2A13">
        <w:rPr>
          <w:rFonts w:ascii="Verdana" w:hAnsi="Verdana"/>
          <w:bCs/>
        </w:rPr>
        <w:t xml:space="preserve"> y, en algunas pruebas, técnicas como </w:t>
      </w:r>
      <w:proofErr w:type="spellStart"/>
      <w:r w:rsidRPr="00EE2A13">
        <w:rPr>
          <w:rFonts w:ascii="Verdana" w:hAnsi="Verdana"/>
          <w:bCs/>
        </w:rPr>
        <w:t>gradient</w:t>
      </w:r>
      <w:proofErr w:type="spellEnd"/>
      <w:r w:rsidRPr="00EE2A13">
        <w:rPr>
          <w:rFonts w:ascii="Verdana" w:hAnsi="Verdana"/>
          <w:bCs/>
        </w:rPr>
        <w:t xml:space="preserve"> </w:t>
      </w:r>
      <w:proofErr w:type="spellStart"/>
      <w:r w:rsidRPr="00EE2A13">
        <w:rPr>
          <w:rFonts w:ascii="Verdana" w:hAnsi="Verdana"/>
          <w:bCs/>
        </w:rPr>
        <w:t>clipping</w:t>
      </w:r>
      <w:proofErr w:type="spellEnd"/>
      <w:r w:rsidRPr="00EE2A13">
        <w:rPr>
          <w:rFonts w:ascii="Verdana" w:hAnsi="Verdana"/>
          <w:bCs/>
        </w:rPr>
        <w:t xml:space="preserve">, precisión mixta automática, </w:t>
      </w:r>
      <w:proofErr w:type="spellStart"/>
      <w:r w:rsidRPr="00EE2A13">
        <w:rPr>
          <w:rFonts w:ascii="Verdana" w:hAnsi="Verdana"/>
          <w:bCs/>
        </w:rPr>
        <w:t>CrossEntropyLoss</w:t>
      </w:r>
      <w:proofErr w:type="spellEnd"/>
      <w:r w:rsidRPr="00EE2A13">
        <w:rPr>
          <w:rFonts w:ascii="Verdana" w:hAnsi="Verdana"/>
          <w:bCs/>
        </w:rPr>
        <w:t xml:space="preserve"> ponderada y Focal Loss. Para obtener una decisión a nivel de paciente, las predicciones individuales de los cortes fueron agregadas mediante estrategias como promedio de probabilidades o selección del valor máximo asociado a la clase positiva.</w:t>
      </w:r>
    </w:p>
    <w:p w14:paraId="330ED862" w14:textId="77777777" w:rsidR="00EE2A13" w:rsidRPr="00EE2A13" w:rsidRDefault="00EE2A13" w:rsidP="00EE2A13">
      <w:pPr>
        <w:jc w:val="both"/>
        <w:rPr>
          <w:rFonts w:ascii="Verdana" w:hAnsi="Verdana"/>
          <w:bCs/>
        </w:rPr>
      </w:pPr>
      <w:r w:rsidRPr="00EE2A13">
        <w:rPr>
          <w:rFonts w:ascii="Verdana" w:hAnsi="Verdana"/>
          <w:bCs/>
        </w:rPr>
        <w:t xml:space="preserve">El desempeño del sistema se evaluó mediante métricas cuantitativas de clasificación y detección, incluyendo exactitud, sensibilidad, especificidad, precisión, F1-score, AUC-ROC y matriz de confusión. Estas métricas permitieron analizar tanto el rendimiento global como el comportamiento clínicamente relevante del sistema, especialmente en relación con falsos positivos y falsos negativos. Además, se utilizó </w:t>
      </w:r>
      <w:proofErr w:type="spellStart"/>
      <w:r w:rsidRPr="00EE2A13">
        <w:rPr>
          <w:rFonts w:ascii="Verdana" w:hAnsi="Verdana"/>
          <w:bCs/>
        </w:rPr>
        <w:t>MLflow</w:t>
      </w:r>
      <w:proofErr w:type="spellEnd"/>
      <w:r w:rsidRPr="00EE2A13">
        <w:rPr>
          <w:rFonts w:ascii="Verdana" w:hAnsi="Verdana"/>
          <w:bCs/>
        </w:rPr>
        <w:t xml:space="preserve"> para registrar </w:t>
      </w:r>
      <w:proofErr w:type="spellStart"/>
      <w:r w:rsidRPr="00EE2A13">
        <w:rPr>
          <w:rFonts w:ascii="Verdana" w:hAnsi="Verdana"/>
          <w:bCs/>
        </w:rPr>
        <w:t>hiperparámetros</w:t>
      </w:r>
      <w:proofErr w:type="spellEnd"/>
      <w:r w:rsidRPr="00EE2A13">
        <w:rPr>
          <w:rFonts w:ascii="Verdana" w:hAnsi="Verdana"/>
          <w:bCs/>
        </w:rPr>
        <w:t>, métricas, modelos y artefactos experimentales, con el fin de garantizar trazabilidad y comparación entre pruebas.</w:t>
      </w:r>
    </w:p>
    <w:p w14:paraId="5B8FFE38" w14:textId="77777777" w:rsidR="00C903FF" w:rsidRPr="00EE2A13" w:rsidRDefault="00EE2A13" w:rsidP="00EE2A13">
      <w:pPr>
        <w:jc w:val="both"/>
        <w:rPr>
          <w:rFonts w:ascii="Verdana" w:hAnsi="Verdana"/>
          <w:bCs/>
        </w:rPr>
      </w:pPr>
      <w:r w:rsidRPr="00EE2A13">
        <w:rPr>
          <w:rFonts w:ascii="Verdana" w:hAnsi="Verdana"/>
          <w:bCs/>
        </w:rPr>
        <w:t xml:space="preserve">La aplicación final fue empaquetada como archivo ejecutable para sistemas Windows de 64 bits. Sus requisitos mínimos de ejecución corresponden a un procesador Intel Core i5 o equivalente, 8 GB de memoria RAM y 5 GB de espacio libre en disco. El sistema puede ejecutarse sin tarjeta gráfica dedicada y analiza </w:t>
      </w:r>
      <w:r w:rsidRPr="00EE2A13">
        <w:rPr>
          <w:rFonts w:ascii="Verdana" w:hAnsi="Verdana"/>
          <w:bCs/>
        </w:rPr>
        <w:lastRenderedPageBreak/>
        <w:t xml:space="preserve">un estudio de aproximadamente 200 cortes en un tiempo estimado de 15 a 20 minutos en CPU. </w:t>
      </w:r>
    </w:p>
    <w:p w14:paraId="3E188349" w14:textId="77777777" w:rsidR="00721F7D" w:rsidRDefault="00721F7D" w:rsidP="00E965E5">
      <w:pPr>
        <w:rPr>
          <w:rFonts w:ascii="Verdana" w:hAnsi="Verdana"/>
          <w:sz w:val="24"/>
          <w:szCs w:val="24"/>
        </w:rPr>
      </w:pPr>
    </w:p>
    <w:p w14:paraId="4D71524C" w14:textId="77777777" w:rsidR="00E71CFF" w:rsidRDefault="00E71CFF" w:rsidP="00C903FF">
      <w:pPr>
        <w:rPr>
          <w:rFonts w:ascii="Verdana" w:hAnsi="Verdana"/>
          <w:b/>
          <w:sz w:val="24"/>
          <w:szCs w:val="24"/>
        </w:rPr>
      </w:pPr>
      <w:r w:rsidRPr="00E71CFF">
        <w:rPr>
          <w:rFonts w:ascii="Verdana" w:hAnsi="Verdana"/>
          <w:b/>
          <w:sz w:val="24"/>
          <w:szCs w:val="24"/>
        </w:rPr>
        <w:t>RESULTADOS</w:t>
      </w:r>
      <w:r w:rsidR="00B56654">
        <w:rPr>
          <w:rFonts w:ascii="Verdana" w:hAnsi="Verdana"/>
          <w:b/>
          <w:sz w:val="24"/>
          <w:szCs w:val="24"/>
        </w:rPr>
        <w:t xml:space="preserve"> </w:t>
      </w:r>
    </w:p>
    <w:p w14:paraId="0F6F1217" w14:textId="77777777" w:rsidR="00987898" w:rsidRPr="002A52C7" w:rsidRDefault="00987898" w:rsidP="00987898">
      <w:pPr>
        <w:spacing w:after="120"/>
        <w:jc w:val="both"/>
        <w:rPr>
          <w:rFonts w:ascii="Verdana" w:hAnsi="Verdana"/>
        </w:rPr>
      </w:pPr>
      <w:r w:rsidRPr="002A52C7">
        <w:rPr>
          <w:rFonts w:ascii="Verdana" w:hAnsi="Verdana"/>
        </w:rPr>
        <w:t>El proceso experimental permitió comparar estrategias de aprendizaje profundo aplicadas a la detección de nódulos pulmonares en imágenes de tomografía computarizada. Las primeras pruebas se orientaron a modelos de clasificación por paciente, mientras que la etapa final incorporó un sistema de detección basado en YOLOv8 Triple Ensemble V31 con supresión no máxima tridimensional y clasificación clínica. En conjunto, los resultados evidencian que la localización de regiones sospechosas y la consolidación de la información a nivel de paciente ofrecieron una respuesta más adecuada para el objetivo del sistema que la clasificación aislada de cortes tomográficos.</w:t>
      </w:r>
    </w:p>
    <w:p w14:paraId="3D47B5A4" w14:textId="405EB26D" w:rsidR="002049A7" w:rsidRDefault="00987898" w:rsidP="00987898">
      <w:pPr>
        <w:spacing w:after="120"/>
        <w:jc w:val="both"/>
        <w:rPr>
          <w:rFonts w:ascii="Verdana" w:hAnsi="Verdana"/>
        </w:rPr>
      </w:pPr>
      <w:r w:rsidRPr="002A52C7">
        <w:rPr>
          <w:rFonts w:ascii="Verdana" w:hAnsi="Verdana"/>
        </w:rPr>
        <w:t>La Tabla 1 presenta una comparación sintética entre las configuraciones con métricas completas y comparables. No se incluyeron pruebas preliminares sin indicadores completos, con el fin de evitar vacíos en la tabla y mantener una lectura directa de los resultados. El sistema final evaluado por paciente obtuvo el mejor equilibrio general, con una exactitud de 93,26 %, sensibilidad de 94,59 %, especificidad de 91,04 %, F1-score de 94,59 % y AUC estimado de 0,928.</w:t>
      </w:r>
    </w:p>
    <w:p w14:paraId="1C816B30" w14:textId="77777777" w:rsidR="00B40E2C" w:rsidRPr="002A52C7" w:rsidRDefault="00B40E2C" w:rsidP="00987898">
      <w:pPr>
        <w:spacing w:after="120"/>
        <w:jc w:val="both"/>
        <w:rPr>
          <w:rFonts w:ascii="Verdana" w:hAnsi="Verdana"/>
        </w:rPr>
      </w:pPr>
    </w:p>
    <w:p w14:paraId="2BF9C86A" w14:textId="77777777" w:rsidR="00987898" w:rsidRPr="002A52C7" w:rsidRDefault="00987898" w:rsidP="00987898">
      <w:pPr>
        <w:spacing w:before="160" w:after="60"/>
        <w:rPr>
          <w:rFonts w:ascii="Verdana" w:hAnsi="Verdana"/>
        </w:rPr>
      </w:pPr>
      <w:r w:rsidRPr="002A52C7">
        <w:rPr>
          <w:rFonts w:ascii="Verdana" w:hAnsi="Verdana"/>
          <w:b/>
          <w:sz w:val="20"/>
        </w:rPr>
        <w:t>Tabla 1. Comparación de desempeño entre configuraciones evaluadas</w:t>
      </w:r>
    </w:p>
    <w:tbl>
      <w:tblPr>
        <w:tblW w:w="0" w:type="auto"/>
        <w:jc w:val="center"/>
        <w:tblLayout w:type="fixed"/>
        <w:tblLook w:val="04A0" w:firstRow="1" w:lastRow="0" w:firstColumn="1" w:lastColumn="0" w:noHBand="0" w:noVBand="1"/>
      </w:tblPr>
      <w:tblGrid>
        <w:gridCol w:w="2494"/>
        <w:gridCol w:w="1247"/>
        <w:gridCol w:w="1020"/>
        <w:gridCol w:w="1020"/>
        <w:gridCol w:w="1020"/>
        <w:gridCol w:w="1020"/>
        <w:gridCol w:w="963"/>
      </w:tblGrid>
      <w:tr w:rsidR="00987898" w:rsidRPr="002A52C7" w14:paraId="7F58A5D9" w14:textId="77777777" w:rsidTr="00B567D8">
        <w:trPr>
          <w:jc w:val="center"/>
        </w:trPr>
        <w:tc>
          <w:tcPr>
            <w:tcW w:w="2494" w:type="dxa"/>
            <w:tcBorders>
              <w:top w:val="single" w:sz="8" w:space="0" w:color="000000"/>
              <w:left w:val="nil"/>
              <w:bottom w:val="single" w:sz="6" w:space="0" w:color="000000"/>
              <w:right w:val="nil"/>
            </w:tcBorders>
            <w:vAlign w:val="center"/>
          </w:tcPr>
          <w:p w14:paraId="288A48ED" w14:textId="77777777" w:rsidR="00987898" w:rsidRPr="002A52C7" w:rsidRDefault="00987898" w:rsidP="00B567D8">
            <w:pPr>
              <w:spacing w:after="0"/>
              <w:rPr>
                <w:rFonts w:ascii="Verdana" w:hAnsi="Verdana"/>
              </w:rPr>
            </w:pPr>
            <w:r w:rsidRPr="002A52C7">
              <w:rPr>
                <w:rFonts w:ascii="Verdana" w:hAnsi="Verdana"/>
                <w:b/>
                <w:sz w:val="16"/>
              </w:rPr>
              <w:t>Configuración</w:t>
            </w:r>
          </w:p>
        </w:tc>
        <w:tc>
          <w:tcPr>
            <w:tcW w:w="1247" w:type="dxa"/>
            <w:tcBorders>
              <w:top w:val="single" w:sz="8" w:space="0" w:color="000000"/>
              <w:left w:val="nil"/>
              <w:bottom w:val="single" w:sz="6" w:space="0" w:color="000000"/>
              <w:right w:val="nil"/>
            </w:tcBorders>
            <w:vAlign w:val="center"/>
          </w:tcPr>
          <w:p w14:paraId="5C1C6B56" w14:textId="77777777" w:rsidR="00987898" w:rsidRPr="002A52C7" w:rsidRDefault="00987898" w:rsidP="00B567D8">
            <w:pPr>
              <w:spacing w:after="0"/>
              <w:jc w:val="center"/>
              <w:rPr>
                <w:rFonts w:ascii="Verdana" w:hAnsi="Verdana"/>
              </w:rPr>
            </w:pPr>
            <w:r w:rsidRPr="002A52C7">
              <w:rPr>
                <w:rFonts w:ascii="Verdana" w:hAnsi="Verdana"/>
                <w:b/>
                <w:sz w:val="16"/>
              </w:rPr>
              <w:t>Nivel</w:t>
            </w:r>
          </w:p>
        </w:tc>
        <w:tc>
          <w:tcPr>
            <w:tcW w:w="1020" w:type="dxa"/>
            <w:tcBorders>
              <w:top w:val="single" w:sz="8" w:space="0" w:color="000000"/>
              <w:left w:val="nil"/>
              <w:bottom w:val="single" w:sz="6" w:space="0" w:color="000000"/>
              <w:right w:val="nil"/>
            </w:tcBorders>
            <w:vAlign w:val="center"/>
          </w:tcPr>
          <w:p w14:paraId="494EA7C5" w14:textId="77777777" w:rsidR="00987898" w:rsidRPr="002A52C7" w:rsidRDefault="00987898" w:rsidP="00B567D8">
            <w:pPr>
              <w:spacing w:after="0"/>
              <w:jc w:val="center"/>
              <w:rPr>
                <w:rFonts w:ascii="Verdana" w:hAnsi="Verdana"/>
              </w:rPr>
            </w:pPr>
            <w:proofErr w:type="spellStart"/>
            <w:r w:rsidRPr="002A52C7">
              <w:rPr>
                <w:rFonts w:ascii="Verdana" w:hAnsi="Verdana"/>
                <w:b/>
                <w:sz w:val="16"/>
              </w:rPr>
              <w:t>Exact</w:t>
            </w:r>
            <w:proofErr w:type="spellEnd"/>
            <w:r w:rsidRPr="002A52C7">
              <w:rPr>
                <w:rFonts w:ascii="Verdana" w:hAnsi="Verdana"/>
                <w:b/>
                <w:sz w:val="16"/>
              </w:rPr>
              <w:t>.</w:t>
            </w:r>
          </w:p>
        </w:tc>
        <w:tc>
          <w:tcPr>
            <w:tcW w:w="1020" w:type="dxa"/>
            <w:tcBorders>
              <w:top w:val="single" w:sz="8" w:space="0" w:color="000000"/>
              <w:left w:val="nil"/>
              <w:bottom w:val="single" w:sz="6" w:space="0" w:color="000000"/>
              <w:right w:val="nil"/>
            </w:tcBorders>
            <w:vAlign w:val="center"/>
          </w:tcPr>
          <w:p w14:paraId="69870F20" w14:textId="77777777" w:rsidR="00987898" w:rsidRPr="002A52C7" w:rsidRDefault="00987898" w:rsidP="00B567D8">
            <w:pPr>
              <w:spacing w:after="0"/>
              <w:jc w:val="center"/>
              <w:rPr>
                <w:rFonts w:ascii="Verdana" w:hAnsi="Verdana"/>
              </w:rPr>
            </w:pPr>
            <w:r w:rsidRPr="002A52C7">
              <w:rPr>
                <w:rFonts w:ascii="Verdana" w:hAnsi="Verdana"/>
                <w:b/>
                <w:sz w:val="16"/>
              </w:rPr>
              <w:t>Sens.</w:t>
            </w:r>
          </w:p>
        </w:tc>
        <w:tc>
          <w:tcPr>
            <w:tcW w:w="1020" w:type="dxa"/>
            <w:tcBorders>
              <w:top w:val="single" w:sz="8" w:space="0" w:color="000000"/>
              <w:left w:val="nil"/>
              <w:bottom w:val="single" w:sz="6" w:space="0" w:color="000000"/>
              <w:right w:val="nil"/>
            </w:tcBorders>
            <w:vAlign w:val="center"/>
          </w:tcPr>
          <w:p w14:paraId="7D5C214D" w14:textId="77777777" w:rsidR="00987898" w:rsidRPr="002A52C7" w:rsidRDefault="00987898" w:rsidP="00B567D8">
            <w:pPr>
              <w:spacing w:after="0"/>
              <w:jc w:val="center"/>
              <w:rPr>
                <w:rFonts w:ascii="Verdana" w:hAnsi="Verdana"/>
              </w:rPr>
            </w:pPr>
            <w:r w:rsidRPr="002A52C7">
              <w:rPr>
                <w:rFonts w:ascii="Verdana" w:hAnsi="Verdana"/>
                <w:b/>
                <w:sz w:val="16"/>
              </w:rPr>
              <w:t>Esp.</w:t>
            </w:r>
          </w:p>
        </w:tc>
        <w:tc>
          <w:tcPr>
            <w:tcW w:w="1020" w:type="dxa"/>
            <w:tcBorders>
              <w:top w:val="single" w:sz="8" w:space="0" w:color="000000"/>
              <w:left w:val="nil"/>
              <w:bottom w:val="single" w:sz="6" w:space="0" w:color="000000"/>
              <w:right w:val="nil"/>
            </w:tcBorders>
            <w:vAlign w:val="center"/>
          </w:tcPr>
          <w:p w14:paraId="52768FA4" w14:textId="77777777" w:rsidR="00987898" w:rsidRPr="002A52C7" w:rsidRDefault="00987898" w:rsidP="00B567D8">
            <w:pPr>
              <w:spacing w:after="0"/>
              <w:jc w:val="center"/>
              <w:rPr>
                <w:rFonts w:ascii="Verdana" w:hAnsi="Verdana"/>
              </w:rPr>
            </w:pPr>
            <w:r w:rsidRPr="002A52C7">
              <w:rPr>
                <w:rFonts w:ascii="Verdana" w:hAnsi="Verdana"/>
                <w:b/>
                <w:sz w:val="16"/>
              </w:rPr>
              <w:t>F1-score</w:t>
            </w:r>
          </w:p>
        </w:tc>
        <w:tc>
          <w:tcPr>
            <w:tcW w:w="963" w:type="dxa"/>
            <w:tcBorders>
              <w:top w:val="single" w:sz="8" w:space="0" w:color="000000"/>
              <w:left w:val="nil"/>
              <w:bottom w:val="single" w:sz="6" w:space="0" w:color="000000"/>
              <w:right w:val="nil"/>
            </w:tcBorders>
            <w:vAlign w:val="center"/>
          </w:tcPr>
          <w:p w14:paraId="29716C68" w14:textId="77777777" w:rsidR="00987898" w:rsidRPr="002A52C7" w:rsidRDefault="00987898" w:rsidP="00B567D8">
            <w:pPr>
              <w:spacing w:after="0"/>
              <w:jc w:val="center"/>
              <w:rPr>
                <w:rFonts w:ascii="Verdana" w:hAnsi="Verdana"/>
              </w:rPr>
            </w:pPr>
            <w:r w:rsidRPr="002A52C7">
              <w:rPr>
                <w:rFonts w:ascii="Verdana" w:hAnsi="Verdana"/>
                <w:b/>
                <w:sz w:val="16"/>
              </w:rPr>
              <w:t>AUC</w:t>
            </w:r>
          </w:p>
        </w:tc>
      </w:tr>
      <w:tr w:rsidR="00987898" w:rsidRPr="002A52C7" w14:paraId="26787994" w14:textId="77777777" w:rsidTr="00B567D8">
        <w:trPr>
          <w:jc w:val="center"/>
        </w:trPr>
        <w:tc>
          <w:tcPr>
            <w:tcW w:w="2494" w:type="dxa"/>
            <w:tcBorders>
              <w:top w:val="nil"/>
              <w:left w:val="nil"/>
              <w:bottom w:val="nil"/>
              <w:right w:val="nil"/>
            </w:tcBorders>
            <w:vAlign w:val="center"/>
          </w:tcPr>
          <w:p w14:paraId="06DF6E65" w14:textId="77777777" w:rsidR="00987898" w:rsidRPr="002A52C7" w:rsidRDefault="00987898" w:rsidP="00B567D8">
            <w:pPr>
              <w:spacing w:after="0"/>
              <w:rPr>
                <w:rFonts w:ascii="Verdana" w:hAnsi="Verdana"/>
              </w:rPr>
            </w:pPr>
            <w:r w:rsidRPr="002A52C7">
              <w:rPr>
                <w:rFonts w:ascii="Verdana" w:hAnsi="Verdana"/>
                <w:sz w:val="16"/>
              </w:rPr>
              <w:t>ResNet18</w:t>
            </w:r>
          </w:p>
        </w:tc>
        <w:tc>
          <w:tcPr>
            <w:tcW w:w="1247" w:type="dxa"/>
            <w:tcBorders>
              <w:top w:val="nil"/>
              <w:left w:val="nil"/>
              <w:bottom w:val="nil"/>
              <w:right w:val="nil"/>
            </w:tcBorders>
            <w:vAlign w:val="center"/>
          </w:tcPr>
          <w:p w14:paraId="449AD635" w14:textId="77777777" w:rsidR="00987898" w:rsidRPr="002A52C7" w:rsidRDefault="00987898" w:rsidP="00B567D8">
            <w:pPr>
              <w:spacing w:after="0"/>
              <w:jc w:val="center"/>
              <w:rPr>
                <w:rFonts w:ascii="Verdana" w:hAnsi="Verdana"/>
              </w:rPr>
            </w:pPr>
            <w:r w:rsidRPr="002A52C7">
              <w:rPr>
                <w:rFonts w:ascii="Verdana" w:hAnsi="Verdana"/>
                <w:sz w:val="16"/>
              </w:rPr>
              <w:t>Paciente</w:t>
            </w:r>
          </w:p>
        </w:tc>
        <w:tc>
          <w:tcPr>
            <w:tcW w:w="1020" w:type="dxa"/>
            <w:tcBorders>
              <w:top w:val="nil"/>
              <w:left w:val="nil"/>
              <w:bottom w:val="nil"/>
              <w:right w:val="nil"/>
            </w:tcBorders>
            <w:vAlign w:val="center"/>
          </w:tcPr>
          <w:p w14:paraId="03188DF8" w14:textId="77777777" w:rsidR="00987898" w:rsidRPr="002A52C7" w:rsidRDefault="00987898" w:rsidP="00B567D8">
            <w:pPr>
              <w:spacing w:after="0"/>
              <w:jc w:val="center"/>
              <w:rPr>
                <w:rFonts w:ascii="Verdana" w:hAnsi="Verdana"/>
              </w:rPr>
            </w:pPr>
            <w:r w:rsidRPr="002A52C7">
              <w:rPr>
                <w:rFonts w:ascii="Verdana" w:hAnsi="Verdana"/>
                <w:sz w:val="16"/>
              </w:rPr>
              <w:t>73,33 %</w:t>
            </w:r>
          </w:p>
        </w:tc>
        <w:tc>
          <w:tcPr>
            <w:tcW w:w="1020" w:type="dxa"/>
            <w:tcBorders>
              <w:top w:val="nil"/>
              <w:left w:val="nil"/>
              <w:bottom w:val="nil"/>
              <w:right w:val="nil"/>
            </w:tcBorders>
            <w:vAlign w:val="center"/>
          </w:tcPr>
          <w:p w14:paraId="600B06FC" w14:textId="77777777" w:rsidR="00987898" w:rsidRPr="002A52C7" w:rsidRDefault="00987898" w:rsidP="00B567D8">
            <w:pPr>
              <w:spacing w:after="0"/>
              <w:jc w:val="center"/>
              <w:rPr>
                <w:rFonts w:ascii="Verdana" w:hAnsi="Verdana"/>
              </w:rPr>
            </w:pPr>
            <w:r w:rsidRPr="002A52C7">
              <w:rPr>
                <w:rFonts w:ascii="Verdana" w:hAnsi="Verdana"/>
                <w:sz w:val="16"/>
              </w:rPr>
              <w:t>94,51 %</w:t>
            </w:r>
          </w:p>
        </w:tc>
        <w:tc>
          <w:tcPr>
            <w:tcW w:w="1020" w:type="dxa"/>
            <w:tcBorders>
              <w:top w:val="nil"/>
              <w:left w:val="nil"/>
              <w:bottom w:val="nil"/>
              <w:right w:val="nil"/>
            </w:tcBorders>
            <w:vAlign w:val="center"/>
          </w:tcPr>
          <w:p w14:paraId="2217CB9D" w14:textId="77777777" w:rsidR="00987898" w:rsidRPr="002A52C7" w:rsidRDefault="00987898" w:rsidP="00B567D8">
            <w:pPr>
              <w:spacing w:after="0"/>
              <w:jc w:val="center"/>
              <w:rPr>
                <w:rFonts w:ascii="Verdana" w:hAnsi="Verdana"/>
              </w:rPr>
            </w:pPr>
            <w:r w:rsidRPr="002A52C7">
              <w:rPr>
                <w:rFonts w:ascii="Verdana" w:hAnsi="Verdana"/>
                <w:sz w:val="16"/>
              </w:rPr>
              <w:t>29,55 %</w:t>
            </w:r>
          </w:p>
        </w:tc>
        <w:tc>
          <w:tcPr>
            <w:tcW w:w="1020" w:type="dxa"/>
            <w:tcBorders>
              <w:top w:val="nil"/>
              <w:left w:val="nil"/>
              <w:bottom w:val="nil"/>
              <w:right w:val="nil"/>
            </w:tcBorders>
            <w:vAlign w:val="center"/>
          </w:tcPr>
          <w:p w14:paraId="05EB1D41" w14:textId="77777777" w:rsidR="00987898" w:rsidRPr="002A52C7" w:rsidRDefault="00987898" w:rsidP="00B567D8">
            <w:pPr>
              <w:spacing w:after="0"/>
              <w:jc w:val="center"/>
              <w:rPr>
                <w:rFonts w:ascii="Verdana" w:hAnsi="Verdana"/>
              </w:rPr>
            </w:pPr>
            <w:r w:rsidRPr="002A52C7">
              <w:rPr>
                <w:rFonts w:ascii="Verdana" w:hAnsi="Verdana"/>
                <w:sz w:val="16"/>
              </w:rPr>
              <w:t>82,69 %</w:t>
            </w:r>
          </w:p>
        </w:tc>
        <w:tc>
          <w:tcPr>
            <w:tcW w:w="963" w:type="dxa"/>
            <w:tcBorders>
              <w:top w:val="nil"/>
              <w:left w:val="nil"/>
              <w:bottom w:val="nil"/>
              <w:right w:val="nil"/>
            </w:tcBorders>
            <w:vAlign w:val="center"/>
          </w:tcPr>
          <w:p w14:paraId="27CE0A93" w14:textId="77777777" w:rsidR="00987898" w:rsidRPr="002A52C7" w:rsidRDefault="00987898" w:rsidP="00B567D8">
            <w:pPr>
              <w:spacing w:after="0"/>
              <w:jc w:val="center"/>
              <w:rPr>
                <w:rFonts w:ascii="Verdana" w:hAnsi="Verdana"/>
              </w:rPr>
            </w:pPr>
            <w:r w:rsidRPr="002A52C7">
              <w:rPr>
                <w:rFonts w:ascii="Verdana" w:hAnsi="Verdana"/>
                <w:sz w:val="16"/>
              </w:rPr>
              <w:t>0,685</w:t>
            </w:r>
          </w:p>
        </w:tc>
      </w:tr>
      <w:tr w:rsidR="00987898" w:rsidRPr="002A52C7" w14:paraId="2A4FD280" w14:textId="77777777" w:rsidTr="00B567D8">
        <w:trPr>
          <w:jc w:val="center"/>
        </w:trPr>
        <w:tc>
          <w:tcPr>
            <w:tcW w:w="2494" w:type="dxa"/>
            <w:tcBorders>
              <w:top w:val="nil"/>
              <w:left w:val="nil"/>
              <w:bottom w:val="nil"/>
              <w:right w:val="nil"/>
            </w:tcBorders>
            <w:vAlign w:val="center"/>
          </w:tcPr>
          <w:p w14:paraId="76DCE3E0" w14:textId="77777777" w:rsidR="00987898" w:rsidRPr="002A52C7" w:rsidRDefault="00987898" w:rsidP="00B567D8">
            <w:pPr>
              <w:spacing w:after="0"/>
              <w:rPr>
                <w:rFonts w:ascii="Verdana" w:hAnsi="Verdana"/>
              </w:rPr>
            </w:pPr>
            <w:r w:rsidRPr="002A52C7">
              <w:rPr>
                <w:rFonts w:ascii="Verdana" w:hAnsi="Verdana"/>
                <w:sz w:val="16"/>
              </w:rPr>
              <w:t>YOLOv8 Triple Ensemble V31</w:t>
            </w:r>
          </w:p>
        </w:tc>
        <w:tc>
          <w:tcPr>
            <w:tcW w:w="1247" w:type="dxa"/>
            <w:tcBorders>
              <w:top w:val="nil"/>
              <w:left w:val="nil"/>
              <w:bottom w:val="nil"/>
              <w:right w:val="nil"/>
            </w:tcBorders>
            <w:vAlign w:val="center"/>
          </w:tcPr>
          <w:p w14:paraId="131F02A9" w14:textId="77777777" w:rsidR="00987898" w:rsidRPr="002A52C7" w:rsidRDefault="00987898" w:rsidP="00B567D8">
            <w:pPr>
              <w:spacing w:after="0"/>
              <w:jc w:val="center"/>
              <w:rPr>
                <w:rFonts w:ascii="Verdana" w:hAnsi="Verdana"/>
              </w:rPr>
            </w:pPr>
            <w:r w:rsidRPr="002A52C7">
              <w:rPr>
                <w:rFonts w:ascii="Verdana" w:hAnsi="Verdana"/>
                <w:sz w:val="16"/>
              </w:rPr>
              <w:t>Nódulo</w:t>
            </w:r>
          </w:p>
        </w:tc>
        <w:tc>
          <w:tcPr>
            <w:tcW w:w="1020" w:type="dxa"/>
            <w:tcBorders>
              <w:top w:val="nil"/>
              <w:left w:val="nil"/>
              <w:bottom w:val="nil"/>
              <w:right w:val="nil"/>
            </w:tcBorders>
            <w:vAlign w:val="center"/>
          </w:tcPr>
          <w:p w14:paraId="27B5D1A8" w14:textId="77777777" w:rsidR="00987898" w:rsidRPr="002A52C7" w:rsidRDefault="00987898" w:rsidP="00B567D8">
            <w:pPr>
              <w:spacing w:after="0"/>
              <w:jc w:val="center"/>
              <w:rPr>
                <w:rFonts w:ascii="Verdana" w:hAnsi="Verdana"/>
              </w:rPr>
            </w:pPr>
            <w:r w:rsidRPr="002A52C7">
              <w:rPr>
                <w:rFonts w:ascii="Verdana" w:hAnsi="Verdana"/>
                <w:sz w:val="16"/>
              </w:rPr>
              <w:t>93,30 %</w:t>
            </w:r>
          </w:p>
        </w:tc>
        <w:tc>
          <w:tcPr>
            <w:tcW w:w="1020" w:type="dxa"/>
            <w:tcBorders>
              <w:top w:val="nil"/>
              <w:left w:val="nil"/>
              <w:bottom w:val="nil"/>
              <w:right w:val="nil"/>
            </w:tcBorders>
            <w:vAlign w:val="center"/>
          </w:tcPr>
          <w:p w14:paraId="0538DFB8" w14:textId="77777777" w:rsidR="00987898" w:rsidRPr="002A52C7" w:rsidRDefault="00987898" w:rsidP="00B567D8">
            <w:pPr>
              <w:spacing w:after="0"/>
              <w:jc w:val="center"/>
              <w:rPr>
                <w:rFonts w:ascii="Verdana" w:hAnsi="Verdana"/>
              </w:rPr>
            </w:pPr>
            <w:r w:rsidRPr="002A52C7">
              <w:rPr>
                <w:rFonts w:ascii="Verdana" w:hAnsi="Verdana"/>
                <w:sz w:val="16"/>
              </w:rPr>
              <w:t>88,37 %</w:t>
            </w:r>
          </w:p>
        </w:tc>
        <w:tc>
          <w:tcPr>
            <w:tcW w:w="1020" w:type="dxa"/>
            <w:tcBorders>
              <w:top w:val="nil"/>
              <w:left w:val="nil"/>
              <w:bottom w:val="nil"/>
              <w:right w:val="nil"/>
            </w:tcBorders>
            <w:vAlign w:val="center"/>
          </w:tcPr>
          <w:p w14:paraId="71EB4678" w14:textId="77777777" w:rsidR="00987898" w:rsidRPr="002A52C7" w:rsidRDefault="00987898" w:rsidP="00B567D8">
            <w:pPr>
              <w:spacing w:after="0"/>
              <w:jc w:val="center"/>
              <w:rPr>
                <w:rFonts w:ascii="Verdana" w:hAnsi="Verdana"/>
              </w:rPr>
            </w:pPr>
            <w:r w:rsidRPr="002A52C7">
              <w:rPr>
                <w:rFonts w:ascii="Verdana" w:hAnsi="Verdana"/>
                <w:sz w:val="16"/>
              </w:rPr>
              <w:t>95,08 %</w:t>
            </w:r>
          </w:p>
        </w:tc>
        <w:tc>
          <w:tcPr>
            <w:tcW w:w="1020" w:type="dxa"/>
            <w:tcBorders>
              <w:top w:val="nil"/>
              <w:left w:val="nil"/>
              <w:bottom w:val="nil"/>
              <w:right w:val="nil"/>
            </w:tcBorders>
            <w:vAlign w:val="center"/>
          </w:tcPr>
          <w:p w14:paraId="69FB6560" w14:textId="77777777" w:rsidR="00987898" w:rsidRPr="002A52C7" w:rsidRDefault="00987898" w:rsidP="00B567D8">
            <w:pPr>
              <w:spacing w:after="0"/>
              <w:jc w:val="center"/>
              <w:rPr>
                <w:rFonts w:ascii="Verdana" w:hAnsi="Verdana"/>
              </w:rPr>
            </w:pPr>
            <w:r w:rsidRPr="002A52C7">
              <w:rPr>
                <w:rFonts w:ascii="Verdana" w:hAnsi="Verdana"/>
                <w:sz w:val="16"/>
              </w:rPr>
              <w:t>87,52 %</w:t>
            </w:r>
          </w:p>
        </w:tc>
        <w:tc>
          <w:tcPr>
            <w:tcW w:w="963" w:type="dxa"/>
            <w:tcBorders>
              <w:top w:val="nil"/>
              <w:left w:val="nil"/>
              <w:bottom w:val="nil"/>
              <w:right w:val="nil"/>
            </w:tcBorders>
            <w:vAlign w:val="center"/>
          </w:tcPr>
          <w:p w14:paraId="6C6CF069" w14:textId="77777777" w:rsidR="00987898" w:rsidRPr="002A52C7" w:rsidRDefault="00987898" w:rsidP="00B567D8">
            <w:pPr>
              <w:spacing w:after="0"/>
              <w:jc w:val="center"/>
              <w:rPr>
                <w:rFonts w:ascii="Verdana" w:hAnsi="Verdana"/>
              </w:rPr>
            </w:pPr>
            <w:r w:rsidRPr="002A52C7">
              <w:rPr>
                <w:rFonts w:ascii="Verdana" w:hAnsi="Verdana"/>
                <w:sz w:val="16"/>
              </w:rPr>
              <w:t>~0,917</w:t>
            </w:r>
          </w:p>
        </w:tc>
      </w:tr>
      <w:tr w:rsidR="00987898" w:rsidRPr="002A52C7" w14:paraId="1AE173C2" w14:textId="77777777" w:rsidTr="00B567D8">
        <w:trPr>
          <w:jc w:val="center"/>
        </w:trPr>
        <w:tc>
          <w:tcPr>
            <w:tcW w:w="2494" w:type="dxa"/>
            <w:tcBorders>
              <w:top w:val="nil"/>
              <w:left w:val="nil"/>
              <w:bottom w:val="single" w:sz="8" w:space="0" w:color="000000"/>
              <w:right w:val="nil"/>
            </w:tcBorders>
            <w:vAlign w:val="center"/>
          </w:tcPr>
          <w:p w14:paraId="534B30C5" w14:textId="77777777" w:rsidR="00987898" w:rsidRPr="002A52C7" w:rsidRDefault="00987898" w:rsidP="00B567D8">
            <w:pPr>
              <w:spacing w:after="0"/>
              <w:rPr>
                <w:rFonts w:ascii="Verdana" w:hAnsi="Verdana"/>
              </w:rPr>
            </w:pPr>
            <w:r w:rsidRPr="002A52C7">
              <w:rPr>
                <w:rFonts w:ascii="Verdana" w:hAnsi="Verdana"/>
                <w:sz w:val="16"/>
              </w:rPr>
              <w:t>YOLOv8 Triple Ensemble V31</w:t>
            </w:r>
          </w:p>
        </w:tc>
        <w:tc>
          <w:tcPr>
            <w:tcW w:w="1247" w:type="dxa"/>
            <w:tcBorders>
              <w:top w:val="nil"/>
              <w:left w:val="nil"/>
              <w:bottom w:val="single" w:sz="8" w:space="0" w:color="000000"/>
              <w:right w:val="nil"/>
            </w:tcBorders>
            <w:vAlign w:val="center"/>
          </w:tcPr>
          <w:p w14:paraId="069ADF38" w14:textId="77777777" w:rsidR="00987898" w:rsidRPr="002A52C7" w:rsidRDefault="00987898" w:rsidP="00B567D8">
            <w:pPr>
              <w:spacing w:after="0"/>
              <w:jc w:val="center"/>
              <w:rPr>
                <w:rFonts w:ascii="Verdana" w:hAnsi="Verdana"/>
              </w:rPr>
            </w:pPr>
            <w:r w:rsidRPr="002A52C7">
              <w:rPr>
                <w:rFonts w:ascii="Verdana" w:hAnsi="Verdana"/>
                <w:sz w:val="16"/>
              </w:rPr>
              <w:t>Paciente</w:t>
            </w:r>
          </w:p>
        </w:tc>
        <w:tc>
          <w:tcPr>
            <w:tcW w:w="1020" w:type="dxa"/>
            <w:tcBorders>
              <w:top w:val="nil"/>
              <w:left w:val="nil"/>
              <w:bottom w:val="single" w:sz="8" w:space="0" w:color="000000"/>
              <w:right w:val="nil"/>
            </w:tcBorders>
            <w:vAlign w:val="center"/>
          </w:tcPr>
          <w:p w14:paraId="7E721F29" w14:textId="77777777" w:rsidR="00987898" w:rsidRPr="002A52C7" w:rsidRDefault="00987898" w:rsidP="00B567D8">
            <w:pPr>
              <w:spacing w:after="0"/>
              <w:jc w:val="center"/>
              <w:rPr>
                <w:rFonts w:ascii="Verdana" w:hAnsi="Verdana"/>
              </w:rPr>
            </w:pPr>
            <w:r w:rsidRPr="002A52C7">
              <w:rPr>
                <w:rFonts w:ascii="Verdana" w:hAnsi="Verdana"/>
                <w:sz w:val="16"/>
              </w:rPr>
              <w:t>93,26 %</w:t>
            </w:r>
          </w:p>
        </w:tc>
        <w:tc>
          <w:tcPr>
            <w:tcW w:w="1020" w:type="dxa"/>
            <w:tcBorders>
              <w:top w:val="nil"/>
              <w:left w:val="nil"/>
              <w:bottom w:val="single" w:sz="8" w:space="0" w:color="000000"/>
              <w:right w:val="nil"/>
            </w:tcBorders>
            <w:vAlign w:val="center"/>
          </w:tcPr>
          <w:p w14:paraId="7B227475" w14:textId="77777777" w:rsidR="00987898" w:rsidRPr="002A52C7" w:rsidRDefault="00987898" w:rsidP="00B567D8">
            <w:pPr>
              <w:spacing w:after="0"/>
              <w:jc w:val="center"/>
              <w:rPr>
                <w:rFonts w:ascii="Verdana" w:hAnsi="Verdana"/>
              </w:rPr>
            </w:pPr>
            <w:r w:rsidRPr="002A52C7">
              <w:rPr>
                <w:rFonts w:ascii="Verdana" w:hAnsi="Verdana"/>
                <w:sz w:val="16"/>
              </w:rPr>
              <w:t>94,59 %</w:t>
            </w:r>
          </w:p>
        </w:tc>
        <w:tc>
          <w:tcPr>
            <w:tcW w:w="1020" w:type="dxa"/>
            <w:tcBorders>
              <w:top w:val="nil"/>
              <w:left w:val="nil"/>
              <w:bottom w:val="single" w:sz="8" w:space="0" w:color="000000"/>
              <w:right w:val="nil"/>
            </w:tcBorders>
            <w:vAlign w:val="center"/>
          </w:tcPr>
          <w:p w14:paraId="73DAA36A" w14:textId="77777777" w:rsidR="00987898" w:rsidRPr="002A52C7" w:rsidRDefault="00987898" w:rsidP="00B567D8">
            <w:pPr>
              <w:spacing w:after="0"/>
              <w:jc w:val="center"/>
              <w:rPr>
                <w:rFonts w:ascii="Verdana" w:hAnsi="Verdana"/>
              </w:rPr>
            </w:pPr>
            <w:r w:rsidRPr="002A52C7">
              <w:rPr>
                <w:rFonts w:ascii="Verdana" w:hAnsi="Verdana"/>
                <w:sz w:val="16"/>
              </w:rPr>
              <w:t>91,04 %</w:t>
            </w:r>
          </w:p>
        </w:tc>
        <w:tc>
          <w:tcPr>
            <w:tcW w:w="1020" w:type="dxa"/>
            <w:tcBorders>
              <w:top w:val="nil"/>
              <w:left w:val="nil"/>
              <w:bottom w:val="single" w:sz="8" w:space="0" w:color="000000"/>
              <w:right w:val="nil"/>
            </w:tcBorders>
            <w:vAlign w:val="center"/>
          </w:tcPr>
          <w:p w14:paraId="25BBFD8A" w14:textId="77777777" w:rsidR="00987898" w:rsidRPr="002A52C7" w:rsidRDefault="00987898" w:rsidP="00B567D8">
            <w:pPr>
              <w:spacing w:after="0"/>
              <w:jc w:val="center"/>
              <w:rPr>
                <w:rFonts w:ascii="Verdana" w:hAnsi="Verdana"/>
              </w:rPr>
            </w:pPr>
            <w:r w:rsidRPr="002A52C7">
              <w:rPr>
                <w:rFonts w:ascii="Verdana" w:hAnsi="Verdana"/>
                <w:sz w:val="16"/>
              </w:rPr>
              <w:t>94,59 %</w:t>
            </w:r>
          </w:p>
        </w:tc>
        <w:tc>
          <w:tcPr>
            <w:tcW w:w="963" w:type="dxa"/>
            <w:tcBorders>
              <w:top w:val="nil"/>
              <w:left w:val="nil"/>
              <w:bottom w:val="single" w:sz="8" w:space="0" w:color="000000"/>
              <w:right w:val="nil"/>
            </w:tcBorders>
            <w:vAlign w:val="center"/>
          </w:tcPr>
          <w:p w14:paraId="37FA5D7E" w14:textId="77777777" w:rsidR="00987898" w:rsidRPr="002A52C7" w:rsidRDefault="00987898" w:rsidP="00B567D8">
            <w:pPr>
              <w:spacing w:after="0"/>
              <w:jc w:val="center"/>
              <w:rPr>
                <w:rFonts w:ascii="Verdana" w:hAnsi="Verdana"/>
              </w:rPr>
            </w:pPr>
            <w:r w:rsidRPr="002A52C7">
              <w:rPr>
                <w:rFonts w:ascii="Verdana" w:hAnsi="Verdana"/>
                <w:sz w:val="16"/>
              </w:rPr>
              <w:t>~0,928</w:t>
            </w:r>
          </w:p>
        </w:tc>
      </w:tr>
    </w:tbl>
    <w:p w14:paraId="562289CE" w14:textId="77777777" w:rsidR="00987898" w:rsidRPr="002A52C7" w:rsidRDefault="00987898" w:rsidP="00987898">
      <w:pPr>
        <w:spacing w:before="20"/>
        <w:rPr>
          <w:rFonts w:ascii="Verdana" w:hAnsi="Verdana"/>
        </w:rPr>
      </w:pPr>
      <w:r w:rsidRPr="002A52C7">
        <w:rPr>
          <w:rFonts w:ascii="Verdana" w:hAnsi="Verdana"/>
          <w:i/>
          <w:sz w:val="18"/>
        </w:rPr>
        <w:t xml:space="preserve">Fuente: </w:t>
      </w:r>
      <w:r>
        <w:rPr>
          <w:rFonts w:ascii="Verdana" w:hAnsi="Verdana"/>
          <w:i/>
          <w:sz w:val="18"/>
        </w:rPr>
        <w:t xml:space="preserve">Autores. </w:t>
      </w:r>
    </w:p>
    <w:p w14:paraId="060D83BF" w14:textId="77777777" w:rsidR="00987898" w:rsidRDefault="00987898" w:rsidP="00987898">
      <w:pPr>
        <w:spacing w:after="120"/>
        <w:jc w:val="both"/>
        <w:rPr>
          <w:rFonts w:ascii="Verdana" w:hAnsi="Verdana"/>
        </w:rPr>
      </w:pPr>
      <w:r w:rsidRPr="002A52C7">
        <w:rPr>
          <w:rFonts w:ascii="Verdana" w:hAnsi="Verdana"/>
        </w:rPr>
        <w:t>En la evaluación por nódulo único, el conjunto de validación estuvo conformado por 258 nódulos reales y 712 candidatos negativos, para un total de 970 evaluaciones. Como se observa en la Tabla 2, el sistema alcanzó una exactitud de 93,30 %, sensibilidad de 88,37 %, precisión de 86,69 %, especificidad de 95,08 %, F1-score de 87,52 % y AUC estimado de 0,917.</w:t>
      </w:r>
    </w:p>
    <w:p w14:paraId="4F83FD0B" w14:textId="77777777" w:rsidR="00987898" w:rsidRPr="002A52C7" w:rsidRDefault="00987898" w:rsidP="00987898">
      <w:pPr>
        <w:spacing w:after="120"/>
        <w:jc w:val="both"/>
        <w:rPr>
          <w:rFonts w:ascii="Verdana" w:hAnsi="Verdana"/>
        </w:rPr>
      </w:pPr>
    </w:p>
    <w:p w14:paraId="158F73DA" w14:textId="77777777" w:rsidR="00987898" w:rsidRPr="002A52C7" w:rsidRDefault="00987898" w:rsidP="00987898">
      <w:pPr>
        <w:spacing w:before="160" w:after="60"/>
        <w:rPr>
          <w:rFonts w:ascii="Verdana" w:hAnsi="Verdana"/>
        </w:rPr>
      </w:pPr>
      <w:r w:rsidRPr="002A52C7">
        <w:rPr>
          <w:rFonts w:ascii="Verdana" w:hAnsi="Verdana"/>
          <w:b/>
          <w:sz w:val="20"/>
        </w:rPr>
        <w:t>Tabla 2. Métricas de rendimiento por nódulo único del sistema YOLOv8 Triple Ensemble V31</w:t>
      </w:r>
    </w:p>
    <w:tbl>
      <w:tblPr>
        <w:tblW w:w="0" w:type="auto"/>
        <w:jc w:val="center"/>
        <w:tblLayout w:type="fixed"/>
        <w:tblLook w:val="04A0" w:firstRow="1" w:lastRow="0" w:firstColumn="1" w:lastColumn="0" w:noHBand="0" w:noVBand="1"/>
      </w:tblPr>
      <w:tblGrid>
        <w:gridCol w:w="1984"/>
        <w:gridCol w:w="1530"/>
        <w:gridCol w:w="5273"/>
      </w:tblGrid>
      <w:tr w:rsidR="00987898" w:rsidRPr="002A52C7" w14:paraId="51B2AAA6" w14:textId="77777777" w:rsidTr="00B567D8">
        <w:trPr>
          <w:jc w:val="center"/>
        </w:trPr>
        <w:tc>
          <w:tcPr>
            <w:tcW w:w="1984" w:type="dxa"/>
            <w:tcBorders>
              <w:top w:val="single" w:sz="8" w:space="0" w:color="000000"/>
              <w:left w:val="nil"/>
              <w:bottom w:val="single" w:sz="6" w:space="0" w:color="000000"/>
              <w:right w:val="nil"/>
            </w:tcBorders>
            <w:vAlign w:val="center"/>
          </w:tcPr>
          <w:p w14:paraId="3B5C3867" w14:textId="77777777" w:rsidR="00987898" w:rsidRPr="002A52C7" w:rsidRDefault="00987898" w:rsidP="00B567D8">
            <w:pPr>
              <w:spacing w:after="0"/>
              <w:rPr>
                <w:rFonts w:ascii="Verdana" w:hAnsi="Verdana"/>
              </w:rPr>
            </w:pPr>
            <w:r w:rsidRPr="002A52C7">
              <w:rPr>
                <w:rFonts w:ascii="Verdana" w:hAnsi="Verdana"/>
                <w:b/>
                <w:sz w:val="18"/>
              </w:rPr>
              <w:t>Métrica</w:t>
            </w:r>
          </w:p>
        </w:tc>
        <w:tc>
          <w:tcPr>
            <w:tcW w:w="1530" w:type="dxa"/>
            <w:tcBorders>
              <w:top w:val="single" w:sz="8" w:space="0" w:color="000000"/>
              <w:left w:val="nil"/>
              <w:bottom w:val="single" w:sz="6" w:space="0" w:color="000000"/>
              <w:right w:val="nil"/>
            </w:tcBorders>
            <w:vAlign w:val="center"/>
          </w:tcPr>
          <w:p w14:paraId="5BECA8D3" w14:textId="77777777" w:rsidR="00987898" w:rsidRPr="002A52C7" w:rsidRDefault="00987898" w:rsidP="00B567D8">
            <w:pPr>
              <w:spacing w:after="0"/>
              <w:jc w:val="center"/>
              <w:rPr>
                <w:rFonts w:ascii="Verdana" w:hAnsi="Verdana"/>
              </w:rPr>
            </w:pPr>
            <w:r w:rsidRPr="002A52C7">
              <w:rPr>
                <w:rFonts w:ascii="Verdana" w:hAnsi="Verdana"/>
                <w:b/>
                <w:sz w:val="18"/>
              </w:rPr>
              <w:t>Valor</w:t>
            </w:r>
          </w:p>
        </w:tc>
        <w:tc>
          <w:tcPr>
            <w:tcW w:w="5273" w:type="dxa"/>
            <w:tcBorders>
              <w:top w:val="single" w:sz="8" w:space="0" w:color="000000"/>
              <w:left w:val="nil"/>
              <w:bottom w:val="single" w:sz="6" w:space="0" w:color="000000"/>
              <w:right w:val="nil"/>
            </w:tcBorders>
            <w:vAlign w:val="center"/>
          </w:tcPr>
          <w:p w14:paraId="21158597" w14:textId="77777777" w:rsidR="00987898" w:rsidRPr="002A52C7" w:rsidRDefault="00987898" w:rsidP="00B567D8">
            <w:pPr>
              <w:spacing w:after="0"/>
              <w:rPr>
                <w:rFonts w:ascii="Verdana" w:hAnsi="Verdana"/>
              </w:rPr>
            </w:pPr>
            <w:r w:rsidRPr="002A52C7">
              <w:rPr>
                <w:rFonts w:ascii="Verdana" w:hAnsi="Verdana"/>
                <w:b/>
                <w:sz w:val="18"/>
              </w:rPr>
              <w:t>Interpretación</w:t>
            </w:r>
          </w:p>
        </w:tc>
      </w:tr>
      <w:tr w:rsidR="00987898" w:rsidRPr="002A52C7" w14:paraId="576E375D" w14:textId="77777777" w:rsidTr="00B567D8">
        <w:trPr>
          <w:jc w:val="center"/>
        </w:trPr>
        <w:tc>
          <w:tcPr>
            <w:tcW w:w="1984" w:type="dxa"/>
            <w:tcBorders>
              <w:top w:val="nil"/>
              <w:left w:val="nil"/>
              <w:bottom w:val="nil"/>
              <w:right w:val="nil"/>
            </w:tcBorders>
            <w:vAlign w:val="center"/>
          </w:tcPr>
          <w:p w14:paraId="4E49965E" w14:textId="77777777" w:rsidR="00987898" w:rsidRPr="002A52C7" w:rsidRDefault="00987898" w:rsidP="00B567D8">
            <w:pPr>
              <w:spacing w:after="0"/>
              <w:rPr>
                <w:rFonts w:ascii="Verdana" w:hAnsi="Verdana"/>
              </w:rPr>
            </w:pPr>
            <w:r w:rsidRPr="002A52C7">
              <w:rPr>
                <w:rFonts w:ascii="Verdana" w:hAnsi="Verdana"/>
                <w:sz w:val="18"/>
              </w:rPr>
              <w:t>Exactitud</w:t>
            </w:r>
          </w:p>
        </w:tc>
        <w:tc>
          <w:tcPr>
            <w:tcW w:w="1530" w:type="dxa"/>
            <w:tcBorders>
              <w:top w:val="nil"/>
              <w:left w:val="nil"/>
              <w:bottom w:val="nil"/>
              <w:right w:val="nil"/>
            </w:tcBorders>
            <w:vAlign w:val="center"/>
          </w:tcPr>
          <w:p w14:paraId="781A7BD9" w14:textId="77777777" w:rsidR="00987898" w:rsidRPr="002A52C7" w:rsidRDefault="00987898" w:rsidP="00B567D8">
            <w:pPr>
              <w:spacing w:after="0"/>
              <w:jc w:val="center"/>
              <w:rPr>
                <w:rFonts w:ascii="Verdana" w:hAnsi="Verdana"/>
              </w:rPr>
            </w:pPr>
            <w:r w:rsidRPr="002A52C7">
              <w:rPr>
                <w:rFonts w:ascii="Verdana" w:hAnsi="Verdana"/>
                <w:sz w:val="18"/>
              </w:rPr>
              <w:t>93,30 %</w:t>
            </w:r>
          </w:p>
        </w:tc>
        <w:tc>
          <w:tcPr>
            <w:tcW w:w="5273" w:type="dxa"/>
            <w:tcBorders>
              <w:top w:val="nil"/>
              <w:left w:val="nil"/>
              <w:bottom w:val="nil"/>
              <w:right w:val="nil"/>
            </w:tcBorders>
            <w:vAlign w:val="center"/>
          </w:tcPr>
          <w:p w14:paraId="2B0E1CA9" w14:textId="77777777" w:rsidR="00987898" w:rsidRPr="002A52C7" w:rsidRDefault="00987898" w:rsidP="00B567D8">
            <w:pPr>
              <w:spacing w:after="0"/>
              <w:rPr>
                <w:rFonts w:ascii="Verdana" w:hAnsi="Verdana"/>
              </w:rPr>
            </w:pPr>
            <w:r w:rsidRPr="002A52C7">
              <w:rPr>
                <w:rFonts w:ascii="Verdana" w:hAnsi="Verdana"/>
                <w:sz w:val="18"/>
              </w:rPr>
              <w:t>905 evaluaciones correctas de 970</w:t>
            </w:r>
          </w:p>
        </w:tc>
      </w:tr>
      <w:tr w:rsidR="00987898" w:rsidRPr="002A52C7" w14:paraId="18D609E6" w14:textId="77777777" w:rsidTr="00B567D8">
        <w:trPr>
          <w:jc w:val="center"/>
        </w:trPr>
        <w:tc>
          <w:tcPr>
            <w:tcW w:w="1984" w:type="dxa"/>
            <w:tcBorders>
              <w:top w:val="nil"/>
              <w:left w:val="nil"/>
              <w:bottom w:val="nil"/>
              <w:right w:val="nil"/>
            </w:tcBorders>
            <w:vAlign w:val="center"/>
          </w:tcPr>
          <w:p w14:paraId="3A4EDEED" w14:textId="77777777" w:rsidR="00987898" w:rsidRPr="002A52C7" w:rsidRDefault="00987898" w:rsidP="00B567D8">
            <w:pPr>
              <w:spacing w:after="0"/>
              <w:rPr>
                <w:rFonts w:ascii="Verdana" w:hAnsi="Verdana"/>
              </w:rPr>
            </w:pPr>
            <w:r w:rsidRPr="002A52C7">
              <w:rPr>
                <w:rFonts w:ascii="Verdana" w:hAnsi="Verdana"/>
                <w:sz w:val="18"/>
              </w:rPr>
              <w:t>Sensibilidad</w:t>
            </w:r>
          </w:p>
        </w:tc>
        <w:tc>
          <w:tcPr>
            <w:tcW w:w="1530" w:type="dxa"/>
            <w:tcBorders>
              <w:top w:val="nil"/>
              <w:left w:val="nil"/>
              <w:bottom w:val="nil"/>
              <w:right w:val="nil"/>
            </w:tcBorders>
            <w:vAlign w:val="center"/>
          </w:tcPr>
          <w:p w14:paraId="7ECAF266" w14:textId="77777777" w:rsidR="00987898" w:rsidRPr="002A52C7" w:rsidRDefault="00987898" w:rsidP="00B567D8">
            <w:pPr>
              <w:spacing w:after="0"/>
              <w:jc w:val="center"/>
              <w:rPr>
                <w:rFonts w:ascii="Verdana" w:hAnsi="Verdana"/>
              </w:rPr>
            </w:pPr>
            <w:r w:rsidRPr="002A52C7">
              <w:rPr>
                <w:rFonts w:ascii="Verdana" w:hAnsi="Verdana"/>
                <w:sz w:val="18"/>
              </w:rPr>
              <w:t>88,37 %</w:t>
            </w:r>
          </w:p>
        </w:tc>
        <w:tc>
          <w:tcPr>
            <w:tcW w:w="5273" w:type="dxa"/>
            <w:tcBorders>
              <w:top w:val="nil"/>
              <w:left w:val="nil"/>
              <w:bottom w:val="nil"/>
              <w:right w:val="nil"/>
            </w:tcBorders>
            <w:vAlign w:val="center"/>
          </w:tcPr>
          <w:p w14:paraId="4AC23E1F" w14:textId="77777777" w:rsidR="00987898" w:rsidRPr="002A52C7" w:rsidRDefault="00987898" w:rsidP="00B567D8">
            <w:pPr>
              <w:spacing w:after="0"/>
              <w:rPr>
                <w:rFonts w:ascii="Verdana" w:hAnsi="Verdana"/>
              </w:rPr>
            </w:pPr>
            <w:r w:rsidRPr="002A52C7">
              <w:rPr>
                <w:rFonts w:ascii="Verdana" w:hAnsi="Verdana"/>
                <w:sz w:val="18"/>
              </w:rPr>
              <w:t>228 nódulos detectados de 258 reales</w:t>
            </w:r>
          </w:p>
        </w:tc>
      </w:tr>
      <w:tr w:rsidR="00987898" w:rsidRPr="002A52C7" w14:paraId="4B91C68A" w14:textId="77777777" w:rsidTr="00B567D8">
        <w:trPr>
          <w:jc w:val="center"/>
        </w:trPr>
        <w:tc>
          <w:tcPr>
            <w:tcW w:w="1984" w:type="dxa"/>
            <w:tcBorders>
              <w:top w:val="nil"/>
              <w:left w:val="nil"/>
              <w:bottom w:val="nil"/>
              <w:right w:val="nil"/>
            </w:tcBorders>
            <w:vAlign w:val="center"/>
          </w:tcPr>
          <w:p w14:paraId="66467FD7" w14:textId="77777777" w:rsidR="00987898" w:rsidRPr="002A52C7" w:rsidRDefault="00987898" w:rsidP="00B567D8">
            <w:pPr>
              <w:spacing w:after="0"/>
              <w:rPr>
                <w:rFonts w:ascii="Verdana" w:hAnsi="Verdana"/>
              </w:rPr>
            </w:pPr>
            <w:r w:rsidRPr="002A52C7">
              <w:rPr>
                <w:rFonts w:ascii="Verdana" w:hAnsi="Verdana"/>
                <w:sz w:val="18"/>
              </w:rPr>
              <w:t>Precisión</w:t>
            </w:r>
          </w:p>
        </w:tc>
        <w:tc>
          <w:tcPr>
            <w:tcW w:w="1530" w:type="dxa"/>
            <w:tcBorders>
              <w:top w:val="nil"/>
              <w:left w:val="nil"/>
              <w:bottom w:val="nil"/>
              <w:right w:val="nil"/>
            </w:tcBorders>
            <w:vAlign w:val="center"/>
          </w:tcPr>
          <w:p w14:paraId="39A3394B" w14:textId="77777777" w:rsidR="00987898" w:rsidRPr="002A52C7" w:rsidRDefault="00987898" w:rsidP="00B567D8">
            <w:pPr>
              <w:spacing w:after="0"/>
              <w:jc w:val="center"/>
              <w:rPr>
                <w:rFonts w:ascii="Verdana" w:hAnsi="Verdana"/>
              </w:rPr>
            </w:pPr>
            <w:r w:rsidRPr="002A52C7">
              <w:rPr>
                <w:rFonts w:ascii="Verdana" w:hAnsi="Verdana"/>
                <w:sz w:val="18"/>
              </w:rPr>
              <w:t>86,69 %</w:t>
            </w:r>
          </w:p>
        </w:tc>
        <w:tc>
          <w:tcPr>
            <w:tcW w:w="5273" w:type="dxa"/>
            <w:tcBorders>
              <w:top w:val="nil"/>
              <w:left w:val="nil"/>
              <w:bottom w:val="nil"/>
              <w:right w:val="nil"/>
            </w:tcBorders>
            <w:vAlign w:val="center"/>
          </w:tcPr>
          <w:p w14:paraId="45D9B216" w14:textId="77777777" w:rsidR="00987898" w:rsidRPr="002A52C7" w:rsidRDefault="00987898" w:rsidP="00B567D8">
            <w:pPr>
              <w:spacing w:after="0"/>
              <w:rPr>
                <w:rFonts w:ascii="Verdana" w:hAnsi="Verdana"/>
              </w:rPr>
            </w:pPr>
            <w:r w:rsidRPr="002A52C7">
              <w:rPr>
                <w:rFonts w:ascii="Verdana" w:hAnsi="Verdana"/>
                <w:sz w:val="18"/>
              </w:rPr>
              <w:t>228 alarmas verdaderas de 263 generadas</w:t>
            </w:r>
          </w:p>
        </w:tc>
      </w:tr>
      <w:tr w:rsidR="00987898" w:rsidRPr="002A52C7" w14:paraId="24355CD7" w14:textId="77777777" w:rsidTr="00B567D8">
        <w:trPr>
          <w:jc w:val="center"/>
        </w:trPr>
        <w:tc>
          <w:tcPr>
            <w:tcW w:w="1984" w:type="dxa"/>
            <w:tcBorders>
              <w:top w:val="nil"/>
              <w:left w:val="nil"/>
              <w:bottom w:val="nil"/>
              <w:right w:val="nil"/>
            </w:tcBorders>
            <w:vAlign w:val="center"/>
          </w:tcPr>
          <w:p w14:paraId="327A8017" w14:textId="77777777" w:rsidR="00987898" w:rsidRPr="002A52C7" w:rsidRDefault="00987898" w:rsidP="00B567D8">
            <w:pPr>
              <w:spacing w:after="0"/>
              <w:rPr>
                <w:rFonts w:ascii="Verdana" w:hAnsi="Verdana"/>
              </w:rPr>
            </w:pPr>
            <w:r w:rsidRPr="002A52C7">
              <w:rPr>
                <w:rFonts w:ascii="Verdana" w:hAnsi="Verdana"/>
                <w:sz w:val="18"/>
              </w:rPr>
              <w:t>Especificidad</w:t>
            </w:r>
          </w:p>
        </w:tc>
        <w:tc>
          <w:tcPr>
            <w:tcW w:w="1530" w:type="dxa"/>
            <w:tcBorders>
              <w:top w:val="nil"/>
              <w:left w:val="nil"/>
              <w:bottom w:val="nil"/>
              <w:right w:val="nil"/>
            </w:tcBorders>
            <w:vAlign w:val="center"/>
          </w:tcPr>
          <w:p w14:paraId="2090B1AC" w14:textId="77777777" w:rsidR="00987898" w:rsidRPr="002A52C7" w:rsidRDefault="00987898" w:rsidP="00B567D8">
            <w:pPr>
              <w:spacing w:after="0"/>
              <w:jc w:val="center"/>
              <w:rPr>
                <w:rFonts w:ascii="Verdana" w:hAnsi="Verdana"/>
              </w:rPr>
            </w:pPr>
            <w:r w:rsidRPr="002A52C7">
              <w:rPr>
                <w:rFonts w:ascii="Verdana" w:hAnsi="Verdana"/>
                <w:sz w:val="18"/>
              </w:rPr>
              <w:t>95,08 %</w:t>
            </w:r>
          </w:p>
        </w:tc>
        <w:tc>
          <w:tcPr>
            <w:tcW w:w="5273" w:type="dxa"/>
            <w:tcBorders>
              <w:top w:val="nil"/>
              <w:left w:val="nil"/>
              <w:bottom w:val="nil"/>
              <w:right w:val="nil"/>
            </w:tcBorders>
            <w:vAlign w:val="center"/>
          </w:tcPr>
          <w:p w14:paraId="69FCD99D" w14:textId="77777777" w:rsidR="00987898" w:rsidRPr="002A52C7" w:rsidRDefault="00987898" w:rsidP="00B567D8">
            <w:pPr>
              <w:spacing w:after="0"/>
              <w:rPr>
                <w:rFonts w:ascii="Verdana" w:hAnsi="Verdana"/>
              </w:rPr>
            </w:pPr>
            <w:r w:rsidRPr="002A52C7">
              <w:rPr>
                <w:rFonts w:ascii="Verdana" w:hAnsi="Verdana"/>
                <w:sz w:val="18"/>
              </w:rPr>
              <w:t>677 negativos identificados correctamente de 712</w:t>
            </w:r>
          </w:p>
        </w:tc>
      </w:tr>
      <w:tr w:rsidR="00987898" w:rsidRPr="002A52C7" w14:paraId="3B27E274" w14:textId="77777777" w:rsidTr="00B567D8">
        <w:trPr>
          <w:jc w:val="center"/>
        </w:trPr>
        <w:tc>
          <w:tcPr>
            <w:tcW w:w="1984" w:type="dxa"/>
            <w:tcBorders>
              <w:top w:val="nil"/>
              <w:left w:val="nil"/>
              <w:bottom w:val="nil"/>
              <w:right w:val="nil"/>
            </w:tcBorders>
            <w:vAlign w:val="center"/>
          </w:tcPr>
          <w:p w14:paraId="2E3760CC" w14:textId="77777777" w:rsidR="00987898" w:rsidRPr="002A52C7" w:rsidRDefault="00987898" w:rsidP="00B567D8">
            <w:pPr>
              <w:spacing w:after="0"/>
              <w:rPr>
                <w:rFonts w:ascii="Verdana" w:hAnsi="Verdana"/>
              </w:rPr>
            </w:pPr>
            <w:r w:rsidRPr="002A52C7">
              <w:rPr>
                <w:rFonts w:ascii="Verdana" w:hAnsi="Verdana"/>
                <w:sz w:val="18"/>
              </w:rPr>
              <w:t>F1-score</w:t>
            </w:r>
          </w:p>
        </w:tc>
        <w:tc>
          <w:tcPr>
            <w:tcW w:w="1530" w:type="dxa"/>
            <w:tcBorders>
              <w:top w:val="nil"/>
              <w:left w:val="nil"/>
              <w:bottom w:val="nil"/>
              <w:right w:val="nil"/>
            </w:tcBorders>
            <w:vAlign w:val="center"/>
          </w:tcPr>
          <w:p w14:paraId="1D8950E5" w14:textId="77777777" w:rsidR="00987898" w:rsidRPr="002A52C7" w:rsidRDefault="00987898" w:rsidP="00B567D8">
            <w:pPr>
              <w:spacing w:after="0"/>
              <w:jc w:val="center"/>
              <w:rPr>
                <w:rFonts w:ascii="Verdana" w:hAnsi="Verdana"/>
              </w:rPr>
            </w:pPr>
            <w:r w:rsidRPr="002A52C7">
              <w:rPr>
                <w:rFonts w:ascii="Verdana" w:hAnsi="Verdana"/>
                <w:sz w:val="18"/>
              </w:rPr>
              <w:t>87,52 %</w:t>
            </w:r>
          </w:p>
        </w:tc>
        <w:tc>
          <w:tcPr>
            <w:tcW w:w="5273" w:type="dxa"/>
            <w:tcBorders>
              <w:top w:val="nil"/>
              <w:left w:val="nil"/>
              <w:bottom w:val="nil"/>
              <w:right w:val="nil"/>
            </w:tcBorders>
            <w:vAlign w:val="center"/>
          </w:tcPr>
          <w:p w14:paraId="37F1326A" w14:textId="77777777" w:rsidR="00987898" w:rsidRPr="002A52C7" w:rsidRDefault="00987898" w:rsidP="00B567D8">
            <w:pPr>
              <w:spacing w:after="0"/>
              <w:rPr>
                <w:rFonts w:ascii="Verdana" w:hAnsi="Verdana"/>
              </w:rPr>
            </w:pPr>
            <w:r w:rsidRPr="002A52C7">
              <w:rPr>
                <w:rFonts w:ascii="Verdana" w:hAnsi="Verdana"/>
                <w:sz w:val="18"/>
              </w:rPr>
              <w:t>Equilibrio entre sensibilidad y precisión</w:t>
            </w:r>
          </w:p>
        </w:tc>
      </w:tr>
      <w:tr w:rsidR="00987898" w:rsidRPr="002A52C7" w14:paraId="70896D2B" w14:textId="77777777" w:rsidTr="00B567D8">
        <w:trPr>
          <w:jc w:val="center"/>
        </w:trPr>
        <w:tc>
          <w:tcPr>
            <w:tcW w:w="1984" w:type="dxa"/>
            <w:tcBorders>
              <w:top w:val="nil"/>
              <w:left w:val="nil"/>
              <w:bottom w:val="single" w:sz="8" w:space="0" w:color="000000"/>
              <w:right w:val="nil"/>
            </w:tcBorders>
            <w:vAlign w:val="center"/>
          </w:tcPr>
          <w:p w14:paraId="04273CBC" w14:textId="77777777" w:rsidR="00987898" w:rsidRPr="002A52C7" w:rsidRDefault="00987898" w:rsidP="00B567D8">
            <w:pPr>
              <w:spacing w:after="0"/>
              <w:rPr>
                <w:rFonts w:ascii="Verdana" w:hAnsi="Verdana"/>
              </w:rPr>
            </w:pPr>
            <w:r w:rsidRPr="002A52C7">
              <w:rPr>
                <w:rFonts w:ascii="Verdana" w:hAnsi="Verdana"/>
                <w:sz w:val="18"/>
              </w:rPr>
              <w:lastRenderedPageBreak/>
              <w:t>AUC estimado</w:t>
            </w:r>
          </w:p>
        </w:tc>
        <w:tc>
          <w:tcPr>
            <w:tcW w:w="1530" w:type="dxa"/>
            <w:tcBorders>
              <w:top w:val="nil"/>
              <w:left w:val="nil"/>
              <w:bottom w:val="single" w:sz="8" w:space="0" w:color="000000"/>
              <w:right w:val="nil"/>
            </w:tcBorders>
            <w:vAlign w:val="center"/>
          </w:tcPr>
          <w:p w14:paraId="70519B70" w14:textId="77777777" w:rsidR="00987898" w:rsidRPr="002A52C7" w:rsidRDefault="00987898" w:rsidP="00B567D8">
            <w:pPr>
              <w:spacing w:after="0"/>
              <w:jc w:val="center"/>
              <w:rPr>
                <w:rFonts w:ascii="Verdana" w:hAnsi="Verdana"/>
              </w:rPr>
            </w:pPr>
            <w:r w:rsidRPr="002A52C7">
              <w:rPr>
                <w:rFonts w:ascii="Verdana" w:hAnsi="Verdana"/>
                <w:sz w:val="18"/>
              </w:rPr>
              <w:t>~0,917</w:t>
            </w:r>
          </w:p>
        </w:tc>
        <w:tc>
          <w:tcPr>
            <w:tcW w:w="5273" w:type="dxa"/>
            <w:tcBorders>
              <w:top w:val="nil"/>
              <w:left w:val="nil"/>
              <w:bottom w:val="single" w:sz="8" w:space="0" w:color="000000"/>
              <w:right w:val="nil"/>
            </w:tcBorders>
            <w:vAlign w:val="center"/>
          </w:tcPr>
          <w:p w14:paraId="05C4F8CC" w14:textId="77777777" w:rsidR="00987898" w:rsidRPr="002A52C7" w:rsidRDefault="00987898" w:rsidP="00B567D8">
            <w:pPr>
              <w:spacing w:after="0"/>
              <w:rPr>
                <w:rFonts w:ascii="Verdana" w:hAnsi="Verdana"/>
              </w:rPr>
            </w:pPr>
            <w:r w:rsidRPr="002A52C7">
              <w:rPr>
                <w:rFonts w:ascii="Verdana" w:hAnsi="Verdana"/>
                <w:sz w:val="18"/>
              </w:rPr>
              <w:t>Capacidad discriminativa alta</w:t>
            </w:r>
          </w:p>
        </w:tc>
      </w:tr>
    </w:tbl>
    <w:p w14:paraId="632DFA43" w14:textId="77777777" w:rsidR="00987898" w:rsidRPr="00987898" w:rsidRDefault="00987898" w:rsidP="00987898">
      <w:pPr>
        <w:spacing w:before="20"/>
        <w:rPr>
          <w:rFonts w:ascii="Verdana" w:hAnsi="Verdana"/>
          <w:i/>
          <w:sz w:val="18"/>
        </w:rPr>
      </w:pPr>
      <w:r w:rsidRPr="002A52C7">
        <w:rPr>
          <w:rFonts w:ascii="Verdana" w:hAnsi="Verdana"/>
          <w:i/>
          <w:sz w:val="18"/>
        </w:rPr>
        <w:t xml:space="preserve">Fuente: </w:t>
      </w:r>
      <w:r>
        <w:rPr>
          <w:rFonts w:ascii="Verdana" w:hAnsi="Verdana"/>
          <w:i/>
          <w:sz w:val="18"/>
        </w:rPr>
        <w:t>Autores.</w:t>
      </w:r>
    </w:p>
    <w:p w14:paraId="75E6CF0D" w14:textId="77777777" w:rsidR="00987898" w:rsidRPr="002A52C7" w:rsidRDefault="00987898" w:rsidP="00987898">
      <w:pPr>
        <w:spacing w:after="120"/>
        <w:jc w:val="both"/>
        <w:rPr>
          <w:rFonts w:ascii="Verdana" w:hAnsi="Verdana"/>
        </w:rPr>
      </w:pPr>
      <w:r w:rsidRPr="002A52C7">
        <w:rPr>
          <w:rFonts w:ascii="Verdana" w:hAnsi="Verdana"/>
        </w:rPr>
        <w:t>Estos resultados indican que el sistema tuvo alta capacidad para rechazar estructuras no nodulares, reflejada en una especificidad de 95,08 %. Sin embargo, se presentaron 30 nódulos no detectados, asociados principalmente a estructuras de tamaño pequeño, cercanas al límite de 3 mm, o a nódulos de baja densidad tipo vidrio esmerilado. Por tanto, aunque el sistema final muestra un desempeño sólido, su comportamiento frente a lesiones pequeñas continúa siendo una limitación relevante.</w:t>
      </w:r>
    </w:p>
    <w:p w14:paraId="5E37CB02" w14:textId="0BEFC9DB" w:rsidR="00DC27A6" w:rsidRDefault="00987898" w:rsidP="00987898">
      <w:pPr>
        <w:spacing w:after="120"/>
        <w:jc w:val="both"/>
        <w:rPr>
          <w:rFonts w:ascii="Verdana" w:hAnsi="Verdana"/>
        </w:rPr>
      </w:pPr>
      <w:r w:rsidRPr="002A52C7">
        <w:rPr>
          <w:rFonts w:ascii="Verdana" w:hAnsi="Verdana"/>
        </w:rPr>
        <w:t xml:space="preserve">La evaluación por paciente completo permitió valorar el sistema en un escenario más cercano al </w:t>
      </w:r>
      <w:proofErr w:type="spellStart"/>
      <w:r w:rsidRPr="002A52C7">
        <w:rPr>
          <w:rFonts w:ascii="Verdana" w:hAnsi="Verdana"/>
        </w:rPr>
        <w:t>triaje</w:t>
      </w:r>
      <w:proofErr w:type="spellEnd"/>
      <w:r w:rsidRPr="002A52C7">
        <w:rPr>
          <w:rFonts w:ascii="Verdana" w:hAnsi="Verdana"/>
        </w:rPr>
        <w:t xml:space="preserve"> clínico, en el cual resulta fundamental identificar si un paciente presenta al menos un hallazgo sospechoso. En esta evaluación se analizaron 111 pacientes con nódulos reales y 67 pacientes sanos, para un total de 178 pacientes. Los resultados se presentan en la Tabla 3.</w:t>
      </w:r>
    </w:p>
    <w:p w14:paraId="1D73F4A1" w14:textId="77777777" w:rsidR="00DC27A6" w:rsidRDefault="00DC27A6" w:rsidP="00987898">
      <w:pPr>
        <w:spacing w:after="120"/>
        <w:jc w:val="both"/>
        <w:rPr>
          <w:rFonts w:ascii="Verdana" w:hAnsi="Verdana"/>
        </w:rPr>
      </w:pPr>
    </w:p>
    <w:p w14:paraId="047C835B" w14:textId="77777777" w:rsidR="00987898" w:rsidRPr="002A52C7" w:rsidRDefault="00987898" w:rsidP="00987898">
      <w:pPr>
        <w:spacing w:before="160" w:after="60"/>
        <w:rPr>
          <w:rFonts w:ascii="Verdana" w:hAnsi="Verdana"/>
        </w:rPr>
      </w:pPr>
      <w:r w:rsidRPr="002A52C7">
        <w:rPr>
          <w:rFonts w:ascii="Verdana" w:hAnsi="Verdana"/>
          <w:b/>
          <w:sz w:val="20"/>
        </w:rPr>
        <w:t>Tabla 3. Métricas de rendimiento por paciente completo del sistema YOLOv8 Triple Ensemble V31</w:t>
      </w:r>
    </w:p>
    <w:tbl>
      <w:tblPr>
        <w:tblW w:w="0" w:type="auto"/>
        <w:jc w:val="center"/>
        <w:tblLayout w:type="fixed"/>
        <w:tblLook w:val="04A0" w:firstRow="1" w:lastRow="0" w:firstColumn="1" w:lastColumn="0" w:noHBand="0" w:noVBand="1"/>
      </w:tblPr>
      <w:tblGrid>
        <w:gridCol w:w="1984"/>
        <w:gridCol w:w="1530"/>
        <w:gridCol w:w="5273"/>
      </w:tblGrid>
      <w:tr w:rsidR="00987898" w:rsidRPr="002A52C7" w14:paraId="7016806F" w14:textId="77777777" w:rsidTr="00B567D8">
        <w:trPr>
          <w:jc w:val="center"/>
        </w:trPr>
        <w:tc>
          <w:tcPr>
            <w:tcW w:w="1984" w:type="dxa"/>
            <w:tcBorders>
              <w:top w:val="single" w:sz="8" w:space="0" w:color="000000"/>
              <w:left w:val="nil"/>
              <w:bottom w:val="single" w:sz="6" w:space="0" w:color="000000"/>
              <w:right w:val="nil"/>
            </w:tcBorders>
            <w:vAlign w:val="center"/>
          </w:tcPr>
          <w:p w14:paraId="37C7FCBF" w14:textId="77777777" w:rsidR="00987898" w:rsidRPr="002A52C7" w:rsidRDefault="00987898" w:rsidP="00B567D8">
            <w:pPr>
              <w:spacing w:after="0"/>
              <w:rPr>
                <w:rFonts w:ascii="Verdana" w:hAnsi="Verdana"/>
              </w:rPr>
            </w:pPr>
            <w:r w:rsidRPr="002A52C7">
              <w:rPr>
                <w:rFonts w:ascii="Verdana" w:hAnsi="Verdana"/>
                <w:b/>
                <w:sz w:val="18"/>
              </w:rPr>
              <w:t>Métrica</w:t>
            </w:r>
          </w:p>
        </w:tc>
        <w:tc>
          <w:tcPr>
            <w:tcW w:w="1530" w:type="dxa"/>
            <w:tcBorders>
              <w:top w:val="single" w:sz="8" w:space="0" w:color="000000"/>
              <w:left w:val="nil"/>
              <w:bottom w:val="single" w:sz="6" w:space="0" w:color="000000"/>
              <w:right w:val="nil"/>
            </w:tcBorders>
            <w:vAlign w:val="center"/>
          </w:tcPr>
          <w:p w14:paraId="0E37F831" w14:textId="77777777" w:rsidR="00987898" w:rsidRPr="002A52C7" w:rsidRDefault="00987898" w:rsidP="00B567D8">
            <w:pPr>
              <w:spacing w:after="0"/>
              <w:jc w:val="center"/>
              <w:rPr>
                <w:rFonts w:ascii="Verdana" w:hAnsi="Verdana"/>
              </w:rPr>
            </w:pPr>
            <w:r w:rsidRPr="002A52C7">
              <w:rPr>
                <w:rFonts w:ascii="Verdana" w:hAnsi="Verdana"/>
                <w:b/>
                <w:sz w:val="18"/>
              </w:rPr>
              <w:t>Valor</w:t>
            </w:r>
          </w:p>
        </w:tc>
        <w:tc>
          <w:tcPr>
            <w:tcW w:w="5273" w:type="dxa"/>
            <w:tcBorders>
              <w:top w:val="single" w:sz="8" w:space="0" w:color="000000"/>
              <w:left w:val="nil"/>
              <w:bottom w:val="single" w:sz="6" w:space="0" w:color="000000"/>
              <w:right w:val="nil"/>
            </w:tcBorders>
            <w:vAlign w:val="center"/>
          </w:tcPr>
          <w:p w14:paraId="14392A3F" w14:textId="77777777" w:rsidR="00987898" w:rsidRPr="002A52C7" w:rsidRDefault="00987898" w:rsidP="00B567D8">
            <w:pPr>
              <w:spacing w:after="0"/>
              <w:rPr>
                <w:rFonts w:ascii="Verdana" w:hAnsi="Verdana"/>
              </w:rPr>
            </w:pPr>
            <w:r w:rsidRPr="002A52C7">
              <w:rPr>
                <w:rFonts w:ascii="Verdana" w:hAnsi="Verdana"/>
                <w:b/>
                <w:sz w:val="18"/>
              </w:rPr>
              <w:t>Interpretación</w:t>
            </w:r>
          </w:p>
        </w:tc>
      </w:tr>
      <w:tr w:rsidR="00987898" w:rsidRPr="002A52C7" w14:paraId="371EE3F7" w14:textId="77777777" w:rsidTr="00B567D8">
        <w:trPr>
          <w:jc w:val="center"/>
        </w:trPr>
        <w:tc>
          <w:tcPr>
            <w:tcW w:w="1984" w:type="dxa"/>
            <w:tcBorders>
              <w:top w:val="nil"/>
              <w:left w:val="nil"/>
              <w:bottom w:val="nil"/>
              <w:right w:val="nil"/>
            </w:tcBorders>
            <w:vAlign w:val="center"/>
          </w:tcPr>
          <w:p w14:paraId="2A4A2274" w14:textId="77777777" w:rsidR="00987898" w:rsidRPr="002A52C7" w:rsidRDefault="00987898" w:rsidP="00B567D8">
            <w:pPr>
              <w:spacing w:after="0"/>
              <w:rPr>
                <w:rFonts w:ascii="Verdana" w:hAnsi="Verdana"/>
              </w:rPr>
            </w:pPr>
            <w:r w:rsidRPr="002A52C7">
              <w:rPr>
                <w:rFonts w:ascii="Verdana" w:hAnsi="Verdana"/>
                <w:sz w:val="18"/>
              </w:rPr>
              <w:t>Exactitud</w:t>
            </w:r>
          </w:p>
        </w:tc>
        <w:tc>
          <w:tcPr>
            <w:tcW w:w="1530" w:type="dxa"/>
            <w:tcBorders>
              <w:top w:val="nil"/>
              <w:left w:val="nil"/>
              <w:bottom w:val="nil"/>
              <w:right w:val="nil"/>
            </w:tcBorders>
            <w:vAlign w:val="center"/>
          </w:tcPr>
          <w:p w14:paraId="791886FE" w14:textId="77777777" w:rsidR="00987898" w:rsidRPr="002A52C7" w:rsidRDefault="00987898" w:rsidP="00B567D8">
            <w:pPr>
              <w:spacing w:after="0"/>
              <w:jc w:val="center"/>
              <w:rPr>
                <w:rFonts w:ascii="Verdana" w:hAnsi="Verdana"/>
              </w:rPr>
            </w:pPr>
            <w:r w:rsidRPr="002A52C7">
              <w:rPr>
                <w:rFonts w:ascii="Verdana" w:hAnsi="Verdana"/>
                <w:sz w:val="18"/>
              </w:rPr>
              <w:t>93,26 %</w:t>
            </w:r>
          </w:p>
        </w:tc>
        <w:tc>
          <w:tcPr>
            <w:tcW w:w="5273" w:type="dxa"/>
            <w:tcBorders>
              <w:top w:val="nil"/>
              <w:left w:val="nil"/>
              <w:bottom w:val="nil"/>
              <w:right w:val="nil"/>
            </w:tcBorders>
            <w:vAlign w:val="center"/>
          </w:tcPr>
          <w:p w14:paraId="3CFFA9B9" w14:textId="77777777" w:rsidR="00987898" w:rsidRPr="002A52C7" w:rsidRDefault="00987898" w:rsidP="00B567D8">
            <w:pPr>
              <w:spacing w:after="0"/>
              <w:rPr>
                <w:rFonts w:ascii="Verdana" w:hAnsi="Verdana"/>
              </w:rPr>
            </w:pPr>
            <w:r w:rsidRPr="002A52C7">
              <w:rPr>
                <w:rFonts w:ascii="Verdana" w:hAnsi="Verdana"/>
                <w:sz w:val="18"/>
              </w:rPr>
              <w:t>166 pacientes clasificados correctamente de 178</w:t>
            </w:r>
          </w:p>
        </w:tc>
      </w:tr>
      <w:tr w:rsidR="00987898" w:rsidRPr="002A52C7" w14:paraId="4D882D9A" w14:textId="77777777" w:rsidTr="00B567D8">
        <w:trPr>
          <w:jc w:val="center"/>
        </w:trPr>
        <w:tc>
          <w:tcPr>
            <w:tcW w:w="1984" w:type="dxa"/>
            <w:tcBorders>
              <w:top w:val="nil"/>
              <w:left w:val="nil"/>
              <w:bottom w:val="nil"/>
              <w:right w:val="nil"/>
            </w:tcBorders>
            <w:vAlign w:val="center"/>
          </w:tcPr>
          <w:p w14:paraId="371C58B1" w14:textId="77777777" w:rsidR="00987898" w:rsidRPr="002A52C7" w:rsidRDefault="00987898" w:rsidP="00B567D8">
            <w:pPr>
              <w:spacing w:after="0"/>
              <w:rPr>
                <w:rFonts w:ascii="Verdana" w:hAnsi="Verdana"/>
              </w:rPr>
            </w:pPr>
            <w:r w:rsidRPr="002A52C7">
              <w:rPr>
                <w:rFonts w:ascii="Verdana" w:hAnsi="Verdana"/>
                <w:sz w:val="18"/>
              </w:rPr>
              <w:t>Sensibilidad</w:t>
            </w:r>
          </w:p>
        </w:tc>
        <w:tc>
          <w:tcPr>
            <w:tcW w:w="1530" w:type="dxa"/>
            <w:tcBorders>
              <w:top w:val="nil"/>
              <w:left w:val="nil"/>
              <w:bottom w:val="nil"/>
              <w:right w:val="nil"/>
            </w:tcBorders>
            <w:vAlign w:val="center"/>
          </w:tcPr>
          <w:p w14:paraId="55834F99" w14:textId="77777777" w:rsidR="00987898" w:rsidRPr="002A52C7" w:rsidRDefault="00987898" w:rsidP="00B567D8">
            <w:pPr>
              <w:spacing w:after="0"/>
              <w:jc w:val="center"/>
              <w:rPr>
                <w:rFonts w:ascii="Verdana" w:hAnsi="Verdana"/>
              </w:rPr>
            </w:pPr>
            <w:r w:rsidRPr="002A52C7">
              <w:rPr>
                <w:rFonts w:ascii="Verdana" w:hAnsi="Verdana"/>
                <w:sz w:val="18"/>
              </w:rPr>
              <w:t>94,59 %</w:t>
            </w:r>
          </w:p>
        </w:tc>
        <w:tc>
          <w:tcPr>
            <w:tcW w:w="5273" w:type="dxa"/>
            <w:tcBorders>
              <w:top w:val="nil"/>
              <w:left w:val="nil"/>
              <w:bottom w:val="nil"/>
              <w:right w:val="nil"/>
            </w:tcBorders>
            <w:vAlign w:val="center"/>
          </w:tcPr>
          <w:p w14:paraId="29917D7F" w14:textId="77777777" w:rsidR="00987898" w:rsidRPr="002A52C7" w:rsidRDefault="00987898" w:rsidP="00B567D8">
            <w:pPr>
              <w:spacing w:after="0"/>
              <w:rPr>
                <w:rFonts w:ascii="Verdana" w:hAnsi="Verdana"/>
              </w:rPr>
            </w:pPr>
            <w:r w:rsidRPr="002A52C7">
              <w:rPr>
                <w:rFonts w:ascii="Verdana" w:hAnsi="Verdana"/>
                <w:sz w:val="18"/>
              </w:rPr>
              <w:t>105 pacientes detectados de 111 con nódulos</w:t>
            </w:r>
          </w:p>
        </w:tc>
      </w:tr>
      <w:tr w:rsidR="00987898" w:rsidRPr="002A52C7" w14:paraId="68BD3206" w14:textId="77777777" w:rsidTr="00B567D8">
        <w:trPr>
          <w:jc w:val="center"/>
        </w:trPr>
        <w:tc>
          <w:tcPr>
            <w:tcW w:w="1984" w:type="dxa"/>
            <w:tcBorders>
              <w:top w:val="nil"/>
              <w:left w:val="nil"/>
              <w:bottom w:val="nil"/>
              <w:right w:val="nil"/>
            </w:tcBorders>
            <w:vAlign w:val="center"/>
          </w:tcPr>
          <w:p w14:paraId="7C4A5D2F" w14:textId="77777777" w:rsidR="00987898" w:rsidRPr="002A52C7" w:rsidRDefault="00987898" w:rsidP="00B567D8">
            <w:pPr>
              <w:spacing w:after="0"/>
              <w:rPr>
                <w:rFonts w:ascii="Verdana" w:hAnsi="Verdana"/>
              </w:rPr>
            </w:pPr>
            <w:r w:rsidRPr="002A52C7">
              <w:rPr>
                <w:rFonts w:ascii="Verdana" w:hAnsi="Verdana"/>
                <w:sz w:val="18"/>
              </w:rPr>
              <w:t>Precisión</w:t>
            </w:r>
          </w:p>
        </w:tc>
        <w:tc>
          <w:tcPr>
            <w:tcW w:w="1530" w:type="dxa"/>
            <w:tcBorders>
              <w:top w:val="nil"/>
              <w:left w:val="nil"/>
              <w:bottom w:val="nil"/>
              <w:right w:val="nil"/>
            </w:tcBorders>
            <w:vAlign w:val="center"/>
          </w:tcPr>
          <w:p w14:paraId="4BE5D806" w14:textId="77777777" w:rsidR="00987898" w:rsidRPr="002A52C7" w:rsidRDefault="00987898" w:rsidP="00B567D8">
            <w:pPr>
              <w:spacing w:after="0"/>
              <w:jc w:val="center"/>
              <w:rPr>
                <w:rFonts w:ascii="Verdana" w:hAnsi="Verdana"/>
              </w:rPr>
            </w:pPr>
            <w:r w:rsidRPr="002A52C7">
              <w:rPr>
                <w:rFonts w:ascii="Verdana" w:hAnsi="Verdana"/>
                <w:sz w:val="18"/>
              </w:rPr>
              <w:t>94,59 %</w:t>
            </w:r>
          </w:p>
        </w:tc>
        <w:tc>
          <w:tcPr>
            <w:tcW w:w="5273" w:type="dxa"/>
            <w:tcBorders>
              <w:top w:val="nil"/>
              <w:left w:val="nil"/>
              <w:bottom w:val="nil"/>
              <w:right w:val="nil"/>
            </w:tcBorders>
            <w:vAlign w:val="center"/>
          </w:tcPr>
          <w:p w14:paraId="4B9D3313" w14:textId="77777777" w:rsidR="00987898" w:rsidRPr="002A52C7" w:rsidRDefault="00987898" w:rsidP="00B567D8">
            <w:pPr>
              <w:spacing w:after="0"/>
              <w:rPr>
                <w:rFonts w:ascii="Verdana" w:hAnsi="Verdana"/>
              </w:rPr>
            </w:pPr>
            <w:r w:rsidRPr="002A52C7">
              <w:rPr>
                <w:rFonts w:ascii="Verdana" w:hAnsi="Verdana"/>
                <w:sz w:val="18"/>
              </w:rPr>
              <w:t>105 alarmas verdaderas de 111 generadas</w:t>
            </w:r>
          </w:p>
        </w:tc>
      </w:tr>
      <w:tr w:rsidR="00987898" w:rsidRPr="002A52C7" w14:paraId="01153DD0" w14:textId="77777777" w:rsidTr="00B567D8">
        <w:trPr>
          <w:jc w:val="center"/>
        </w:trPr>
        <w:tc>
          <w:tcPr>
            <w:tcW w:w="1984" w:type="dxa"/>
            <w:tcBorders>
              <w:top w:val="nil"/>
              <w:left w:val="nil"/>
              <w:bottom w:val="nil"/>
              <w:right w:val="nil"/>
            </w:tcBorders>
            <w:vAlign w:val="center"/>
          </w:tcPr>
          <w:p w14:paraId="3D34ED04" w14:textId="77777777" w:rsidR="00987898" w:rsidRPr="002A52C7" w:rsidRDefault="00987898" w:rsidP="00B567D8">
            <w:pPr>
              <w:spacing w:after="0"/>
              <w:rPr>
                <w:rFonts w:ascii="Verdana" w:hAnsi="Verdana"/>
              </w:rPr>
            </w:pPr>
            <w:r w:rsidRPr="002A52C7">
              <w:rPr>
                <w:rFonts w:ascii="Verdana" w:hAnsi="Verdana"/>
                <w:sz w:val="18"/>
              </w:rPr>
              <w:t>Especificidad</w:t>
            </w:r>
          </w:p>
        </w:tc>
        <w:tc>
          <w:tcPr>
            <w:tcW w:w="1530" w:type="dxa"/>
            <w:tcBorders>
              <w:top w:val="nil"/>
              <w:left w:val="nil"/>
              <w:bottom w:val="nil"/>
              <w:right w:val="nil"/>
            </w:tcBorders>
            <w:vAlign w:val="center"/>
          </w:tcPr>
          <w:p w14:paraId="32758E51" w14:textId="77777777" w:rsidR="00987898" w:rsidRPr="002A52C7" w:rsidRDefault="00987898" w:rsidP="00B567D8">
            <w:pPr>
              <w:spacing w:after="0"/>
              <w:jc w:val="center"/>
              <w:rPr>
                <w:rFonts w:ascii="Verdana" w:hAnsi="Verdana"/>
              </w:rPr>
            </w:pPr>
            <w:r w:rsidRPr="002A52C7">
              <w:rPr>
                <w:rFonts w:ascii="Verdana" w:hAnsi="Verdana"/>
                <w:sz w:val="18"/>
              </w:rPr>
              <w:t>91,04 %</w:t>
            </w:r>
          </w:p>
        </w:tc>
        <w:tc>
          <w:tcPr>
            <w:tcW w:w="5273" w:type="dxa"/>
            <w:tcBorders>
              <w:top w:val="nil"/>
              <w:left w:val="nil"/>
              <w:bottom w:val="nil"/>
              <w:right w:val="nil"/>
            </w:tcBorders>
            <w:vAlign w:val="center"/>
          </w:tcPr>
          <w:p w14:paraId="62E1876D" w14:textId="77777777" w:rsidR="00987898" w:rsidRPr="002A52C7" w:rsidRDefault="00987898" w:rsidP="00B567D8">
            <w:pPr>
              <w:spacing w:after="0"/>
              <w:rPr>
                <w:rFonts w:ascii="Verdana" w:hAnsi="Verdana"/>
              </w:rPr>
            </w:pPr>
            <w:r w:rsidRPr="002A52C7">
              <w:rPr>
                <w:rFonts w:ascii="Verdana" w:hAnsi="Verdana"/>
                <w:sz w:val="18"/>
              </w:rPr>
              <w:t>61 pacientes sanos identificados correctamente de 67</w:t>
            </w:r>
          </w:p>
        </w:tc>
      </w:tr>
      <w:tr w:rsidR="00987898" w:rsidRPr="002A52C7" w14:paraId="3F2B2BE4" w14:textId="77777777" w:rsidTr="00B567D8">
        <w:trPr>
          <w:jc w:val="center"/>
        </w:trPr>
        <w:tc>
          <w:tcPr>
            <w:tcW w:w="1984" w:type="dxa"/>
            <w:tcBorders>
              <w:top w:val="nil"/>
              <w:left w:val="nil"/>
              <w:bottom w:val="nil"/>
              <w:right w:val="nil"/>
            </w:tcBorders>
            <w:vAlign w:val="center"/>
          </w:tcPr>
          <w:p w14:paraId="26F1068B" w14:textId="77777777" w:rsidR="00987898" w:rsidRPr="002A52C7" w:rsidRDefault="00987898" w:rsidP="00B567D8">
            <w:pPr>
              <w:spacing w:after="0"/>
              <w:rPr>
                <w:rFonts w:ascii="Verdana" w:hAnsi="Verdana"/>
              </w:rPr>
            </w:pPr>
            <w:r w:rsidRPr="002A52C7">
              <w:rPr>
                <w:rFonts w:ascii="Verdana" w:hAnsi="Verdana"/>
                <w:sz w:val="18"/>
              </w:rPr>
              <w:t>F1-score</w:t>
            </w:r>
          </w:p>
        </w:tc>
        <w:tc>
          <w:tcPr>
            <w:tcW w:w="1530" w:type="dxa"/>
            <w:tcBorders>
              <w:top w:val="nil"/>
              <w:left w:val="nil"/>
              <w:bottom w:val="nil"/>
              <w:right w:val="nil"/>
            </w:tcBorders>
            <w:vAlign w:val="center"/>
          </w:tcPr>
          <w:p w14:paraId="0794BBE5" w14:textId="77777777" w:rsidR="00987898" w:rsidRPr="002A52C7" w:rsidRDefault="00987898" w:rsidP="00B567D8">
            <w:pPr>
              <w:spacing w:after="0"/>
              <w:jc w:val="center"/>
              <w:rPr>
                <w:rFonts w:ascii="Verdana" w:hAnsi="Verdana"/>
              </w:rPr>
            </w:pPr>
            <w:r w:rsidRPr="002A52C7">
              <w:rPr>
                <w:rFonts w:ascii="Verdana" w:hAnsi="Verdana"/>
                <w:sz w:val="18"/>
              </w:rPr>
              <w:t>94,59 %</w:t>
            </w:r>
          </w:p>
        </w:tc>
        <w:tc>
          <w:tcPr>
            <w:tcW w:w="5273" w:type="dxa"/>
            <w:tcBorders>
              <w:top w:val="nil"/>
              <w:left w:val="nil"/>
              <w:bottom w:val="nil"/>
              <w:right w:val="nil"/>
            </w:tcBorders>
            <w:vAlign w:val="center"/>
          </w:tcPr>
          <w:p w14:paraId="6FF90469" w14:textId="77777777" w:rsidR="00987898" w:rsidRPr="002A52C7" w:rsidRDefault="00987898" w:rsidP="00B567D8">
            <w:pPr>
              <w:spacing w:after="0"/>
              <w:rPr>
                <w:rFonts w:ascii="Verdana" w:hAnsi="Verdana"/>
              </w:rPr>
            </w:pPr>
            <w:r w:rsidRPr="002A52C7">
              <w:rPr>
                <w:rFonts w:ascii="Verdana" w:hAnsi="Verdana"/>
                <w:sz w:val="18"/>
              </w:rPr>
              <w:t>Alto equilibrio entre sensibilidad y precisión por paciente</w:t>
            </w:r>
          </w:p>
        </w:tc>
      </w:tr>
      <w:tr w:rsidR="00987898" w:rsidRPr="002A52C7" w14:paraId="59EEB014" w14:textId="77777777" w:rsidTr="00B567D8">
        <w:trPr>
          <w:jc w:val="center"/>
        </w:trPr>
        <w:tc>
          <w:tcPr>
            <w:tcW w:w="1984" w:type="dxa"/>
            <w:tcBorders>
              <w:top w:val="nil"/>
              <w:left w:val="nil"/>
              <w:bottom w:val="single" w:sz="8" w:space="0" w:color="000000"/>
              <w:right w:val="nil"/>
            </w:tcBorders>
            <w:vAlign w:val="center"/>
          </w:tcPr>
          <w:p w14:paraId="763F8FBC" w14:textId="77777777" w:rsidR="00987898" w:rsidRPr="002A52C7" w:rsidRDefault="00987898" w:rsidP="00B567D8">
            <w:pPr>
              <w:spacing w:after="0"/>
              <w:rPr>
                <w:rFonts w:ascii="Verdana" w:hAnsi="Verdana"/>
              </w:rPr>
            </w:pPr>
            <w:r w:rsidRPr="002A52C7">
              <w:rPr>
                <w:rFonts w:ascii="Verdana" w:hAnsi="Verdana"/>
                <w:sz w:val="18"/>
              </w:rPr>
              <w:t>AUC estimado</w:t>
            </w:r>
          </w:p>
        </w:tc>
        <w:tc>
          <w:tcPr>
            <w:tcW w:w="1530" w:type="dxa"/>
            <w:tcBorders>
              <w:top w:val="nil"/>
              <w:left w:val="nil"/>
              <w:bottom w:val="single" w:sz="8" w:space="0" w:color="000000"/>
              <w:right w:val="nil"/>
            </w:tcBorders>
            <w:vAlign w:val="center"/>
          </w:tcPr>
          <w:p w14:paraId="7F7A0B31" w14:textId="77777777" w:rsidR="00987898" w:rsidRPr="002A52C7" w:rsidRDefault="00987898" w:rsidP="00B567D8">
            <w:pPr>
              <w:spacing w:after="0"/>
              <w:jc w:val="center"/>
              <w:rPr>
                <w:rFonts w:ascii="Verdana" w:hAnsi="Verdana"/>
              </w:rPr>
            </w:pPr>
            <w:r w:rsidRPr="002A52C7">
              <w:rPr>
                <w:rFonts w:ascii="Verdana" w:hAnsi="Verdana"/>
                <w:sz w:val="18"/>
              </w:rPr>
              <w:t>~0,928</w:t>
            </w:r>
          </w:p>
        </w:tc>
        <w:tc>
          <w:tcPr>
            <w:tcW w:w="5273" w:type="dxa"/>
            <w:tcBorders>
              <w:top w:val="nil"/>
              <w:left w:val="nil"/>
              <w:bottom w:val="single" w:sz="8" w:space="0" w:color="000000"/>
              <w:right w:val="nil"/>
            </w:tcBorders>
            <w:vAlign w:val="center"/>
          </w:tcPr>
          <w:p w14:paraId="080C4639" w14:textId="77777777" w:rsidR="00987898" w:rsidRPr="002A52C7" w:rsidRDefault="00987898" w:rsidP="00B567D8">
            <w:pPr>
              <w:spacing w:after="0"/>
              <w:rPr>
                <w:rFonts w:ascii="Verdana" w:hAnsi="Verdana"/>
              </w:rPr>
            </w:pPr>
            <w:r w:rsidRPr="002A52C7">
              <w:rPr>
                <w:rFonts w:ascii="Verdana" w:hAnsi="Verdana"/>
                <w:sz w:val="18"/>
              </w:rPr>
              <w:t>Capacidad discriminativa alta a nivel de paciente</w:t>
            </w:r>
          </w:p>
        </w:tc>
      </w:tr>
    </w:tbl>
    <w:p w14:paraId="34E5D206" w14:textId="77777777" w:rsidR="00987898" w:rsidRPr="002A52C7" w:rsidRDefault="00987898" w:rsidP="00987898">
      <w:pPr>
        <w:spacing w:before="20"/>
        <w:rPr>
          <w:rFonts w:ascii="Verdana" w:hAnsi="Verdana"/>
        </w:rPr>
      </w:pPr>
      <w:r w:rsidRPr="002A52C7">
        <w:rPr>
          <w:rFonts w:ascii="Verdana" w:hAnsi="Verdana"/>
          <w:i/>
          <w:sz w:val="18"/>
        </w:rPr>
        <w:t>Fuente:</w:t>
      </w:r>
      <w:r w:rsidR="00BF39FA">
        <w:rPr>
          <w:rFonts w:ascii="Verdana" w:hAnsi="Verdana"/>
          <w:i/>
          <w:sz w:val="18"/>
        </w:rPr>
        <w:t xml:space="preserve"> Autores</w:t>
      </w:r>
      <w:r w:rsidRPr="002A52C7">
        <w:rPr>
          <w:rFonts w:ascii="Verdana" w:hAnsi="Verdana"/>
          <w:i/>
          <w:sz w:val="18"/>
        </w:rPr>
        <w:t>.</w:t>
      </w:r>
    </w:p>
    <w:p w14:paraId="6FB6F317" w14:textId="77777777" w:rsidR="00987898" w:rsidRPr="002A52C7" w:rsidRDefault="00987898" w:rsidP="00987898">
      <w:pPr>
        <w:spacing w:after="120"/>
        <w:jc w:val="both"/>
        <w:rPr>
          <w:rFonts w:ascii="Verdana" w:hAnsi="Verdana"/>
        </w:rPr>
      </w:pPr>
      <w:r w:rsidRPr="002A52C7">
        <w:rPr>
          <w:rFonts w:ascii="Verdana" w:hAnsi="Verdana"/>
        </w:rPr>
        <w:t>A nivel de paciente, la sensibilidad de 94,59 % indica que el sistema dejó sin detectar 6 de los 111 pacientes con nódulos confirmados. De los 105 pacientes correctamente identificados, 84 tuvieron detección completa de sus nódulos y 21 tuvieron detección parcial, es decir, al menos un nódulo fue identificado. Esta detección parcial conserva utilidad para el apoyo diagnóstico, porque genera una alerta que orienta la revisión completa del estudio por parte del especialista.</w:t>
      </w:r>
    </w:p>
    <w:p w14:paraId="58989B10" w14:textId="77777777" w:rsidR="00987898" w:rsidRPr="002A52C7" w:rsidRDefault="00987898" w:rsidP="00987898">
      <w:pPr>
        <w:spacing w:after="120"/>
        <w:jc w:val="both"/>
        <w:rPr>
          <w:rFonts w:ascii="Verdana" w:hAnsi="Verdana"/>
        </w:rPr>
      </w:pPr>
      <w:r w:rsidRPr="002A52C7">
        <w:rPr>
          <w:rFonts w:ascii="Verdana" w:hAnsi="Verdana"/>
        </w:rPr>
        <w:t>En los pacientes sanos, el sistema clasificó correctamente 61 de 67 casos, con una especificidad de 91,04 %. Esto equivale a 6 falsas alarmas y una tasa de falsa alarma de 8,96 %. Aunque los falsos positivos deben controlarse, en un sistema orientado a detección temprana resulta especialmente crítico disminuir los falsos negativos, debido a que estos representan pacientes con posibles hallazgos que podrían pasar inadvertidos.</w:t>
      </w:r>
    </w:p>
    <w:p w14:paraId="71818941" w14:textId="77777777" w:rsidR="00987898" w:rsidRPr="002A52C7" w:rsidRDefault="00987898" w:rsidP="00987898">
      <w:pPr>
        <w:spacing w:after="120"/>
        <w:jc w:val="both"/>
        <w:rPr>
          <w:rFonts w:ascii="Verdana" w:hAnsi="Verdana"/>
        </w:rPr>
      </w:pPr>
      <w:r w:rsidRPr="002A52C7">
        <w:rPr>
          <w:rFonts w:ascii="Verdana" w:hAnsi="Verdana"/>
        </w:rPr>
        <w:t xml:space="preserve">Además de las métricas cuantitativas, se desarrolló una aplicación informática para cargar estudios tomográficos, configurar parámetros de análisis, visualizar hallazgos detectados mediante cajas delimitadoras y generar reportes de resultados. La Figura 1 muestra un ejemplo de visualización del sistema, en el </w:t>
      </w:r>
      <w:r w:rsidRPr="002A52C7">
        <w:rPr>
          <w:rFonts w:ascii="Verdana" w:hAnsi="Verdana"/>
        </w:rPr>
        <w:lastRenderedPageBreak/>
        <w:t>cual el posible nódulo se resalta mediante una caja delimitadora sobre el corte tomográfico analizado.</w:t>
      </w:r>
    </w:p>
    <w:p w14:paraId="117B77A8" w14:textId="77777777" w:rsidR="00987898" w:rsidRPr="002A52C7" w:rsidRDefault="00987898" w:rsidP="00987898">
      <w:pPr>
        <w:spacing w:before="120"/>
        <w:jc w:val="center"/>
        <w:rPr>
          <w:rFonts w:ascii="Verdana" w:hAnsi="Verdana"/>
        </w:rPr>
      </w:pPr>
      <w:r w:rsidRPr="002A52C7">
        <w:rPr>
          <w:rFonts w:ascii="Verdana" w:hAnsi="Verdana"/>
          <w:noProof/>
        </w:rPr>
        <w:drawing>
          <wp:inline distT="0" distB="0" distL="0" distR="0" wp14:anchorId="4D25A8DB" wp14:editId="0FCABB8F">
            <wp:extent cx="3835400" cy="22289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d68.png"/>
                    <pic:cNvPicPr/>
                  </pic:nvPicPr>
                  <pic:blipFill>
                    <a:blip r:embed="rId16"/>
                    <a:stretch>
                      <a:fillRect/>
                    </a:stretch>
                  </pic:blipFill>
                  <pic:spPr>
                    <a:xfrm>
                      <a:off x="0" y="0"/>
                      <a:ext cx="3859335" cy="2242874"/>
                    </a:xfrm>
                    <a:prstGeom prst="rect">
                      <a:avLst/>
                    </a:prstGeom>
                  </pic:spPr>
                </pic:pic>
              </a:graphicData>
            </a:graphic>
          </wp:inline>
        </w:drawing>
      </w:r>
    </w:p>
    <w:p w14:paraId="48AA1104" w14:textId="77777777" w:rsidR="00987898" w:rsidRPr="002A52C7" w:rsidRDefault="00987898" w:rsidP="00987898">
      <w:pPr>
        <w:spacing w:after="60"/>
        <w:jc w:val="center"/>
        <w:rPr>
          <w:rFonts w:ascii="Verdana" w:hAnsi="Verdana"/>
        </w:rPr>
      </w:pPr>
      <w:r w:rsidRPr="002A52C7">
        <w:rPr>
          <w:rFonts w:ascii="Verdana" w:hAnsi="Verdana"/>
          <w:b/>
          <w:sz w:val="20"/>
        </w:rPr>
        <w:t>Figura 1. Visualización de un corte TAC con posible nódulo detectado mediante caja delimitadora.</w:t>
      </w:r>
    </w:p>
    <w:p w14:paraId="3F5BAE01" w14:textId="77777777" w:rsidR="00987898" w:rsidRPr="002A52C7" w:rsidRDefault="00987898" w:rsidP="00987898">
      <w:pPr>
        <w:spacing w:before="20"/>
        <w:rPr>
          <w:rFonts w:ascii="Verdana" w:hAnsi="Verdana"/>
        </w:rPr>
      </w:pPr>
      <w:r w:rsidRPr="002A52C7">
        <w:rPr>
          <w:rFonts w:ascii="Verdana" w:hAnsi="Verdana"/>
          <w:i/>
          <w:sz w:val="18"/>
        </w:rPr>
        <w:t xml:space="preserve">Fuente: </w:t>
      </w:r>
      <w:r>
        <w:rPr>
          <w:rFonts w:ascii="Verdana" w:hAnsi="Verdana"/>
          <w:i/>
          <w:sz w:val="18"/>
        </w:rPr>
        <w:t>Autores</w:t>
      </w:r>
      <w:r w:rsidRPr="002A52C7">
        <w:rPr>
          <w:rFonts w:ascii="Verdana" w:hAnsi="Verdana"/>
          <w:i/>
          <w:sz w:val="18"/>
        </w:rPr>
        <w:t>.</w:t>
      </w:r>
    </w:p>
    <w:p w14:paraId="3B2F3740" w14:textId="77777777" w:rsidR="00987898" w:rsidRPr="002A52C7" w:rsidRDefault="00987898" w:rsidP="00987898">
      <w:pPr>
        <w:spacing w:after="120"/>
        <w:jc w:val="both"/>
        <w:rPr>
          <w:rFonts w:ascii="Verdana" w:hAnsi="Verdana"/>
        </w:rPr>
      </w:pPr>
      <w:r w:rsidRPr="002A52C7">
        <w:rPr>
          <w:rFonts w:ascii="Verdana" w:hAnsi="Verdana"/>
        </w:rPr>
        <w:t>Con base en estos resultados, el sistema final no debe interpretarse como una herramienta de diagnóstico autónomo, sino como un apoyo experimental para priorizar estudios sospechosos y facilitar la revisión de imágenes por parte del personal especializado. Su aporte principal radica en integrar detección, localización, clasificación clínica preliminar y presentación visual de resultados en una misma interfaz.</w:t>
      </w:r>
    </w:p>
    <w:p w14:paraId="1D6778C1" w14:textId="77777777" w:rsidR="00C474C2" w:rsidRDefault="00C474C2" w:rsidP="00C903FF">
      <w:pPr>
        <w:rPr>
          <w:rFonts w:ascii="Verdana" w:hAnsi="Verdana"/>
          <w:sz w:val="24"/>
          <w:szCs w:val="24"/>
        </w:rPr>
      </w:pPr>
    </w:p>
    <w:p w14:paraId="25904A2C" w14:textId="77777777" w:rsidR="00F31D98" w:rsidRDefault="00F31D98" w:rsidP="007A61C1">
      <w:pPr>
        <w:rPr>
          <w:rFonts w:ascii="Verdana" w:hAnsi="Verdana"/>
          <w:b/>
          <w:sz w:val="24"/>
          <w:szCs w:val="24"/>
        </w:rPr>
      </w:pPr>
      <w:r>
        <w:rPr>
          <w:rFonts w:ascii="Verdana" w:hAnsi="Verdana"/>
          <w:b/>
          <w:sz w:val="24"/>
          <w:szCs w:val="24"/>
        </w:rPr>
        <w:t>DISCUSIÓN</w:t>
      </w:r>
    </w:p>
    <w:p w14:paraId="2B7A4D75" w14:textId="77777777" w:rsidR="003B1235" w:rsidRPr="003B1235" w:rsidRDefault="003B1235" w:rsidP="003B1235">
      <w:pPr>
        <w:jc w:val="both"/>
        <w:rPr>
          <w:rFonts w:ascii="Verdana" w:hAnsi="Verdana"/>
          <w:bCs/>
        </w:rPr>
      </w:pPr>
      <w:r w:rsidRPr="003B1235">
        <w:rPr>
          <w:rFonts w:ascii="Verdana" w:hAnsi="Verdana"/>
          <w:bCs/>
        </w:rPr>
        <w:t>Los resultados obtenidos evidencian que el cambio desde modelos de clasificación hacia un enfoque de detección de objetos permitió mejorar la utilidad del sistema como herramienta de apoyo diagnóstico. Aunque los modelos iniciales basados en ResNet18 y EfficientNet-B0 permitieron explorar la clasificación de cortes y pacientes, su principal limitación fue que entregaban una decisión global sin ubicar espacialmente el hallazgo dentro de la imagen. En contraste, el sistema YOLOv8 Triple Ensemble V31 permitió identificar posibles nódulos y localizarlos mediante cajas delimitadoras, lo cual representa una ventaja práctica para el análisis radiológico, debido a que orienta la revisión del especialista hacia regiones específicas del estudio.</w:t>
      </w:r>
    </w:p>
    <w:p w14:paraId="0DFA4252" w14:textId="458D999B" w:rsidR="003B1235" w:rsidRPr="003B1235" w:rsidRDefault="003B1235" w:rsidP="003B1235">
      <w:pPr>
        <w:jc w:val="both"/>
        <w:rPr>
          <w:rFonts w:ascii="Verdana" w:hAnsi="Verdana"/>
          <w:bCs/>
        </w:rPr>
      </w:pPr>
      <w:r w:rsidRPr="003B1235">
        <w:rPr>
          <w:rFonts w:ascii="Verdana" w:hAnsi="Verdana"/>
          <w:bCs/>
        </w:rPr>
        <w:t xml:space="preserve">El desempeño por paciente resultó más relevante que el análisis aislado por nódulo o por corte tomográfico. En un contexto de apoyo diagnóstico, el objetivo principal no es únicamente detectar todos los nódulos de forma individual, sino alertar sobre pacientes que podrían requerir una revisión prioritaria. En este sentido, la sensibilidad de 94,59 % a nivel de paciente muestra que el sistema logró identificar la mayoría de los casos con nódulos confirmados, mientras que </w:t>
      </w:r>
      <w:r w:rsidRPr="003B1235">
        <w:rPr>
          <w:rFonts w:ascii="Verdana" w:hAnsi="Verdana"/>
          <w:bCs/>
        </w:rPr>
        <w:lastRenderedPageBreak/>
        <w:t xml:space="preserve">la especificidad de 91,04 % indica una reducción importante de falsas alarmas frente a las pruebas iniciales. Este resultado es significativo porque un sistema con alta </w:t>
      </w:r>
      <w:r w:rsidR="008A6296" w:rsidRPr="003B1235">
        <w:rPr>
          <w:rFonts w:ascii="Verdana" w:hAnsi="Verdana"/>
          <w:bCs/>
        </w:rPr>
        <w:t>sensibilidad,</w:t>
      </w:r>
      <w:r w:rsidRPr="003B1235">
        <w:rPr>
          <w:rFonts w:ascii="Verdana" w:hAnsi="Verdana"/>
          <w:bCs/>
        </w:rPr>
        <w:t xml:space="preserve"> pero muy baja especificidad puede generar sobrecarga de revisión, mientras que un sistema con alta especificidad</w:t>
      </w:r>
      <w:r w:rsidR="008A6296">
        <w:rPr>
          <w:rFonts w:ascii="Verdana" w:hAnsi="Verdana"/>
          <w:bCs/>
        </w:rPr>
        <w:t>;</w:t>
      </w:r>
      <w:r w:rsidRPr="003B1235">
        <w:rPr>
          <w:rFonts w:ascii="Verdana" w:hAnsi="Verdana"/>
          <w:bCs/>
        </w:rPr>
        <w:t xml:space="preserve"> pero baja sensibilidad puede omitir casos relevantes.</w:t>
      </w:r>
    </w:p>
    <w:p w14:paraId="54CEFBD6" w14:textId="77777777" w:rsidR="003B1235" w:rsidRPr="003B1235" w:rsidRDefault="003B1235" w:rsidP="003B1235">
      <w:pPr>
        <w:jc w:val="both"/>
        <w:rPr>
          <w:rFonts w:ascii="Verdana" w:hAnsi="Verdana"/>
          <w:bCs/>
        </w:rPr>
      </w:pPr>
      <w:r w:rsidRPr="003B1235">
        <w:rPr>
          <w:rFonts w:ascii="Verdana" w:hAnsi="Verdana"/>
          <w:bCs/>
        </w:rPr>
        <w:t>La comparación entre las etapas experimentales sugiere que el enfoque de detección fue más adecuado para el problema que la clasificación binaria directa. Esto puede explicarse porque la detección de nódulos pulmonares requiere reconocer estructuras pequeñas, localizadas y variables en forma, tamaño y densidad. Los modelos clasificadores procesan la imagen completa o una representación resumida del paciente, lo que puede diluir la información de lesiones pequeñas. Por el contrario, un detector de objetos está diseñado para ubicar regiones específicas dentro de una imagen, lo que se ajusta mejor a la naturaleza del problema. Este comportamiento coincide con la tendencia reportada en investigaciones sobre detección automática de nódulos pulmonares, donde los modelos de aprendizaje profundo han mostrado utilidad al combinar extracción automática de características con localización de hallazgos sospechosos (</w:t>
      </w:r>
      <w:proofErr w:type="spellStart"/>
      <w:r w:rsidRPr="003B1235">
        <w:rPr>
          <w:rFonts w:ascii="Verdana" w:hAnsi="Verdana"/>
          <w:bCs/>
        </w:rPr>
        <w:t>Setio</w:t>
      </w:r>
      <w:proofErr w:type="spellEnd"/>
      <w:r w:rsidRPr="003B1235">
        <w:rPr>
          <w:rFonts w:ascii="Verdana" w:hAnsi="Verdana"/>
          <w:bCs/>
        </w:rPr>
        <w:t xml:space="preserve"> et al., 2017).</w:t>
      </w:r>
    </w:p>
    <w:p w14:paraId="23A0157D" w14:textId="77777777" w:rsidR="003B1235" w:rsidRPr="003B1235" w:rsidRDefault="003B1235" w:rsidP="003B1235">
      <w:pPr>
        <w:jc w:val="both"/>
        <w:rPr>
          <w:rFonts w:ascii="Verdana" w:hAnsi="Verdana"/>
          <w:bCs/>
        </w:rPr>
      </w:pPr>
      <w:r w:rsidRPr="003B1235">
        <w:rPr>
          <w:rFonts w:ascii="Verdana" w:hAnsi="Verdana"/>
          <w:bCs/>
        </w:rPr>
        <w:t>Otro aspecto relevante es la viabilidad computacional del sistema. Aunque algunos métodos del estado del arte en LUNA16 reportan sensibilidades superiores, suelen apoyarse en arquitecturas tridimensionales especializadas y requerimientos computacionales más altos. El sistema desarrollado, en cambio, fue orientado a ejecutarse en CPU y a integrarse en una aplicación de escritorio, lo cual amplía su posible uso en contextos académicos o institucionales con recursos limitados. Sin embargo, esta ventaja operativa no debe interpretarse como equivalencia clínica frente a sistemas validados prospectivamente en hospitales.</w:t>
      </w:r>
    </w:p>
    <w:p w14:paraId="4F652098" w14:textId="77777777" w:rsidR="003B1235" w:rsidRPr="003B1235" w:rsidRDefault="003B1235" w:rsidP="003B1235">
      <w:pPr>
        <w:jc w:val="both"/>
        <w:rPr>
          <w:rFonts w:ascii="Verdana" w:hAnsi="Verdana"/>
          <w:bCs/>
        </w:rPr>
      </w:pPr>
      <w:r w:rsidRPr="003B1235">
        <w:rPr>
          <w:rFonts w:ascii="Verdana" w:hAnsi="Verdana"/>
          <w:bCs/>
        </w:rPr>
        <w:t>A pesar de los resultados favorables, el estudio presenta limitaciones importantes. La primera corresponde al uso de bases de datos públicas y retrospectivas, lo que puede restringir la generalización del modelo frente a imágenes obtenidas en instituciones locales, equipos diferentes o protocolos de adquisición variados. La segunda limitación está relacionada con la ausencia de una validación clínica prospectiva con radiólogos, por lo que el sistema no puede considerarse una herramienta diagnóstica definitiva. La tercera limitación se relaciona con los nódulos pequeños o de baja densidad, especialmente aquellos cercanos al límite de 3 mm o con apariencia de vidrio esmerilado, los cuales continúan representando un reto para el modelo.</w:t>
      </w:r>
    </w:p>
    <w:p w14:paraId="75A04C4B" w14:textId="77777777" w:rsidR="003B1235" w:rsidRDefault="003B1235" w:rsidP="003B1235">
      <w:pPr>
        <w:jc w:val="both"/>
        <w:rPr>
          <w:rFonts w:ascii="Verdana" w:hAnsi="Verdana"/>
          <w:bCs/>
        </w:rPr>
      </w:pPr>
      <w:r w:rsidRPr="003B1235">
        <w:rPr>
          <w:rFonts w:ascii="Verdana" w:hAnsi="Verdana"/>
          <w:bCs/>
        </w:rPr>
        <w:t xml:space="preserve">También debe considerarse que el sistema identifica hallazgos compatibles con nódulos pulmonares, pero no determina por sí mismo la naturaleza maligna o benigna de una lesión. Por tanto, su alcance debe entenderse como apoyo al análisis de imágenes y priorización de casos sospechosos, no como sustituto del </w:t>
      </w:r>
      <w:r w:rsidRPr="003B1235">
        <w:rPr>
          <w:rFonts w:ascii="Verdana" w:hAnsi="Verdana"/>
          <w:bCs/>
        </w:rPr>
        <w:lastRenderedPageBreak/>
        <w:t>criterio médico. Exagerar el alcance diagnóstico sería metodológicamente incorrecto y podría debilitar la validez del artículo.</w:t>
      </w:r>
    </w:p>
    <w:p w14:paraId="6B1F5776" w14:textId="76D2D787" w:rsidR="00A929F1" w:rsidRDefault="00A929F1" w:rsidP="003B1235">
      <w:pPr>
        <w:jc w:val="both"/>
        <w:rPr>
          <w:rFonts w:ascii="Verdana" w:hAnsi="Verdana"/>
          <w:bCs/>
        </w:rPr>
      </w:pPr>
      <w:r w:rsidRPr="00A929F1">
        <w:rPr>
          <w:rFonts w:ascii="Verdana" w:hAnsi="Verdana"/>
          <w:bCs/>
        </w:rPr>
        <w:t>La novedad principal del trabajo radica en la combinación de:</w:t>
      </w:r>
      <w:r>
        <w:rPr>
          <w:rFonts w:ascii="Verdana" w:hAnsi="Verdana"/>
          <w:bCs/>
        </w:rPr>
        <w:t xml:space="preserve"> </w:t>
      </w:r>
      <w:r w:rsidRPr="00A929F1">
        <w:rPr>
          <w:rFonts w:ascii="Verdana" w:hAnsi="Verdana"/>
          <w:bCs/>
        </w:rPr>
        <w:t>un enfoque de detección de objetos (YOLOv8) con supresión no máxima tridimensional aplicada a cortes 2D apilados, en lugar de una arquitectura 3D completa;</w:t>
      </w:r>
      <w:r>
        <w:rPr>
          <w:rFonts w:ascii="Verdana" w:hAnsi="Verdana"/>
          <w:bCs/>
        </w:rPr>
        <w:t xml:space="preserve"> </w:t>
      </w:r>
      <w:r w:rsidRPr="00A929F1">
        <w:rPr>
          <w:rFonts w:ascii="Verdana" w:hAnsi="Verdana"/>
          <w:bCs/>
        </w:rPr>
        <w:t xml:space="preserve">un sistema de triple ensemble que mejora la robustez sin incrementar excesivamente el coste computacional; una evaluación a nivel de paciente que demuestra utilidad clínica para </w:t>
      </w:r>
      <w:proofErr w:type="spellStart"/>
      <w:r w:rsidRPr="00A929F1">
        <w:rPr>
          <w:rFonts w:ascii="Verdana" w:hAnsi="Verdana"/>
          <w:bCs/>
        </w:rPr>
        <w:t>triaje</w:t>
      </w:r>
      <w:proofErr w:type="spellEnd"/>
      <w:r w:rsidRPr="00A929F1">
        <w:rPr>
          <w:rFonts w:ascii="Verdana" w:hAnsi="Verdana"/>
          <w:bCs/>
        </w:rPr>
        <w:t>; y viabilidad de ejecución en CPU con tiempos de análisis de 15–20 minutos por estudio</w:t>
      </w:r>
      <w:r>
        <w:rPr>
          <w:rFonts w:ascii="Verdana" w:hAnsi="Verdana"/>
          <w:bCs/>
        </w:rPr>
        <w:t>, tal como se muestra en la Tabla 4</w:t>
      </w:r>
      <w:r w:rsidRPr="00A929F1">
        <w:rPr>
          <w:rFonts w:ascii="Verdana" w:hAnsi="Verdana"/>
          <w:bCs/>
        </w:rPr>
        <w:t>.</w:t>
      </w:r>
    </w:p>
    <w:p w14:paraId="6D60A4AD" w14:textId="0193E963" w:rsidR="00A929F1" w:rsidRPr="002A52C7" w:rsidRDefault="00A929F1" w:rsidP="00A929F1">
      <w:pPr>
        <w:spacing w:before="160" w:after="60"/>
        <w:rPr>
          <w:rFonts w:ascii="Verdana" w:hAnsi="Verdana"/>
        </w:rPr>
      </w:pPr>
      <w:r w:rsidRPr="002A52C7">
        <w:rPr>
          <w:rFonts w:ascii="Verdana" w:hAnsi="Verdana"/>
          <w:b/>
          <w:sz w:val="20"/>
        </w:rPr>
        <w:t xml:space="preserve">Tabla </w:t>
      </w:r>
      <w:r>
        <w:rPr>
          <w:rFonts w:ascii="Verdana" w:hAnsi="Verdana"/>
          <w:b/>
          <w:sz w:val="20"/>
        </w:rPr>
        <w:t>4</w:t>
      </w:r>
      <w:r w:rsidRPr="002A52C7">
        <w:rPr>
          <w:rFonts w:ascii="Verdana" w:hAnsi="Verdana"/>
          <w:b/>
          <w:sz w:val="20"/>
        </w:rPr>
        <w:t xml:space="preserve">. </w:t>
      </w:r>
      <w:r>
        <w:rPr>
          <w:rFonts w:ascii="Verdana" w:hAnsi="Verdana"/>
          <w:b/>
          <w:sz w:val="20"/>
        </w:rPr>
        <w:t>Comparación de resultados</w:t>
      </w:r>
    </w:p>
    <w:tbl>
      <w:tblPr>
        <w:tblW w:w="0" w:type="auto"/>
        <w:jc w:val="center"/>
        <w:tblLayout w:type="fixed"/>
        <w:tblLook w:val="04A0" w:firstRow="1" w:lastRow="0" w:firstColumn="1" w:lastColumn="0" w:noHBand="0" w:noVBand="1"/>
      </w:tblPr>
      <w:tblGrid>
        <w:gridCol w:w="2494"/>
        <w:gridCol w:w="1247"/>
        <w:gridCol w:w="1020"/>
        <w:gridCol w:w="1020"/>
        <w:gridCol w:w="1020"/>
        <w:gridCol w:w="1020"/>
      </w:tblGrid>
      <w:tr w:rsidR="00F23C5F" w:rsidRPr="002A52C7" w14:paraId="577B6F79" w14:textId="77777777" w:rsidTr="00A34280">
        <w:trPr>
          <w:jc w:val="center"/>
        </w:trPr>
        <w:tc>
          <w:tcPr>
            <w:tcW w:w="2494" w:type="dxa"/>
            <w:tcBorders>
              <w:top w:val="single" w:sz="8" w:space="0" w:color="000000"/>
              <w:left w:val="nil"/>
              <w:bottom w:val="single" w:sz="6" w:space="0" w:color="000000"/>
              <w:right w:val="nil"/>
            </w:tcBorders>
            <w:vAlign w:val="center"/>
          </w:tcPr>
          <w:p w14:paraId="6A6D2EE9" w14:textId="2A079A09" w:rsidR="00F23C5F" w:rsidRPr="002A52C7" w:rsidRDefault="00F23C5F" w:rsidP="00A34280">
            <w:pPr>
              <w:spacing w:after="0"/>
              <w:rPr>
                <w:rFonts w:ascii="Verdana" w:hAnsi="Verdana"/>
              </w:rPr>
            </w:pPr>
            <w:r>
              <w:rPr>
                <w:rFonts w:ascii="Verdana" w:hAnsi="Verdana"/>
                <w:b/>
                <w:sz w:val="16"/>
              </w:rPr>
              <w:t>Sistema</w:t>
            </w:r>
          </w:p>
        </w:tc>
        <w:tc>
          <w:tcPr>
            <w:tcW w:w="1247" w:type="dxa"/>
            <w:tcBorders>
              <w:top w:val="single" w:sz="8" w:space="0" w:color="000000"/>
              <w:left w:val="nil"/>
              <w:bottom w:val="single" w:sz="6" w:space="0" w:color="000000"/>
              <w:right w:val="nil"/>
            </w:tcBorders>
            <w:vAlign w:val="center"/>
          </w:tcPr>
          <w:p w14:paraId="79AD924F" w14:textId="1BC54EB7" w:rsidR="00F23C5F" w:rsidRPr="002A52C7" w:rsidRDefault="00F23C5F" w:rsidP="00A34280">
            <w:pPr>
              <w:spacing w:after="0"/>
              <w:jc w:val="center"/>
              <w:rPr>
                <w:rFonts w:ascii="Verdana" w:hAnsi="Verdana"/>
              </w:rPr>
            </w:pPr>
            <w:r>
              <w:rPr>
                <w:rFonts w:ascii="Verdana" w:hAnsi="Verdana"/>
                <w:b/>
                <w:sz w:val="16"/>
              </w:rPr>
              <w:t>Enfoque</w:t>
            </w:r>
          </w:p>
        </w:tc>
        <w:tc>
          <w:tcPr>
            <w:tcW w:w="1020" w:type="dxa"/>
            <w:tcBorders>
              <w:top w:val="single" w:sz="8" w:space="0" w:color="000000"/>
              <w:left w:val="nil"/>
              <w:bottom w:val="single" w:sz="6" w:space="0" w:color="000000"/>
              <w:right w:val="nil"/>
            </w:tcBorders>
            <w:vAlign w:val="center"/>
          </w:tcPr>
          <w:p w14:paraId="12D2CF99" w14:textId="3B70DAA5" w:rsidR="00F23C5F" w:rsidRPr="002A52C7" w:rsidRDefault="00F23C5F" w:rsidP="00A34280">
            <w:pPr>
              <w:spacing w:after="0"/>
              <w:jc w:val="center"/>
              <w:rPr>
                <w:rFonts w:ascii="Verdana" w:hAnsi="Verdana"/>
              </w:rPr>
            </w:pPr>
            <w:r>
              <w:rPr>
                <w:rFonts w:ascii="Verdana" w:hAnsi="Verdana"/>
                <w:b/>
                <w:sz w:val="16"/>
              </w:rPr>
              <w:t>Sensibilidad</w:t>
            </w:r>
          </w:p>
        </w:tc>
        <w:tc>
          <w:tcPr>
            <w:tcW w:w="1020" w:type="dxa"/>
            <w:tcBorders>
              <w:top w:val="single" w:sz="8" w:space="0" w:color="000000"/>
              <w:left w:val="nil"/>
              <w:bottom w:val="single" w:sz="6" w:space="0" w:color="000000"/>
              <w:right w:val="nil"/>
            </w:tcBorders>
            <w:vAlign w:val="center"/>
          </w:tcPr>
          <w:p w14:paraId="3C72CD77" w14:textId="22588AA7" w:rsidR="00F23C5F" w:rsidRPr="002A52C7" w:rsidRDefault="00F23C5F" w:rsidP="00A34280">
            <w:pPr>
              <w:spacing w:after="0"/>
              <w:jc w:val="center"/>
              <w:rPr>
                <w:rFonts w:ascii="Verdana" w:hAnsi="Verdana"/>
              </w:rPr>
            </w:pPr>
            <w:r>
              <w:rPr>
                <w:rFonts w:ascii="Verdana" w:hAnsi="Verdana"/>
                <w:b/>
                <w:sz w:val="16"/>
              </w:rPr>
              <w:t>Especificidad</w:t>
            </w:r>
          </w:p>
        </w:tc>
        <w:tc>
          <w:tcPr>
            <w:tcW w:w="1020" w:type="dxa"/>
            <w:tcBorders>
              <w:top w:val="single" w:sz="8" w:space="0" w:color="000000"/>
              <w:left w:val="nil"/>
              <w:bottom w:val="single" w:sz="6" w:space="0" w:color="000000"/>
              <w:right w:val="nil"/>
            </w:tcBorders>
            <w:vAlign w:val="center"/>
          </w:tcPr>
          <w:p w14:paraId="1B412081" w14:textId="2B13F6DF" w:rsidR="00F23C5F" w:rsidRPr="002A52C7" w:rsidRDefault="00F23C5F" w:rsidP="00A34280">
            <w:pPr>
              <w:spacing w:after="0"/>
              <w:jc w:val="center"/>
              <w:rPr>
                <w:rFonts w:ascii="Verdana" w:hAnsi="Verdana"/>
              </w:rPr>
            </w:pPr>
            <w:r>
              <w:rPr>
                <w:rFonts w:ascii="Verdana" w:hAnsi="Verdana"/>
                <w:b/>
                <w:sz w:val="16"/>
              </w:rPr>
              <w:t>AUC</w:t>
            </w:r>
          </w:p>
        </w:tc>
        <w:tc>
          <w:tcPr>
            <w:tcW w:w="1020" w:type="dxa"/>
            <w:tcBorders>
              <w:top w:val="single" w:sz="8" w:space="0" w:color="000000"/>
              <w:left w:val="nil"/>
              <w:bottom w:val="single" w:sz="6" w:space="0" w:color="000000"/>
              <w:right w:val="nil"/>
            </w:tcBorders>
            <w:vAlign w:val="center"/>
          </w:tcPr>
          <w:p w14:paraId="2C88B946" w14:textId="2150627A" w:rsidR="00F23C5F" w:rsidRPr="002A52C7" w:rsidRDefault="00F23C5F" w:rsidP="00A34280">
            <w:pPr>
              <w:spacing w:after="0"/>
              <w:jc w:val="center"/>
              <w:rPr>
                <w:rFonts w:ascii="Verdana" w:hAnsi="Verdana"/>
              </w:rPr>
            </w:pPr>
            <w:r>
              <w:rPr>
                <w:rFonts w:ascii="Verdana" w:hAnsi="Verdana"/>
                <w:b/>
                <w:sz w:val="16"/>
              </w:rPr>
              <w:t>Plataforma</w:t>
            </w:r>
          </w:p>
        </w:tc>
      </w:tr>
      <w:tr w:rsidR="00F23C5F" w:rsidRPr="002A52C7" w14:paraId="750452B0" w14:textId="77777777" w:rsidTr="00A34280">
        <w:trPr>
          <w:jc w:val="center"/>
        </w:trPr>
        <w:tc>
          <w:tcPr>
            <w:tcW w:w="2494" w:type="dxa"/>
            <w:tcBorders>
              <w:top w:val="nil"/>
              <w:left w:val="nil"/>
              <w:bottom w:val="nil"/>
              <w:right w:val="nil"/>
            </w:tcBorders>
            <w:vAlign w:val="center"/>
          </w:tcPr>
          <w:p w14:paraId="35704B20" w14:textId="260E3FA7" w:rsidR="00F23C5F" w:rsidRPr="00F23C5F" w:rsidRDefault="00F23C5F" w:rsidP="00A34280">
            <w:pPr>
              <w:spacing w:after="0"/>
              <w:rPr>
                <w:rFonts w:ascii="Verdana" w:hAnsi="Verdana"/>
                <w:lang w:val="en-US"/>
              </w:rPr>
            </w:pPr>
            <w:r w:rsidRPr="00F23C5F">
              <w:rPr>
                <w:rFonts w:ascii="Verdana" w:hAnsi="Verdana"/>
                <w:sz w:val="16"/>
                <w:lang w:val="en-US"/>
              </w:rPr>
              <w:t>YOLOv8 Triple Ensemble V31 (p</w:t>
            </w:r>
            <w:r>
              <w:rPr>
                <w:rFonts w:ascii="Verdana" w:hAnsi="Verdana"/>
                <w:sz w:val="16"/>
                <w:lang w:val="en-US"/>
              </w:rPr>
              <w:t>ropuesto)</w:t>
            </w:r>
          </w:p>
        </w:tc>
        <w:tc>
          <w:tcPr>
            <w:tcW w:w="1247" w:type="dxa"/>
            <w:tcBorders>
              <w:top w:val="nil"/>
              <w:left w:val="nil"/>
              <w:bottom w:val="nil"/>
              <w:right w:val="nil"/>
            </w:tcBorders>
            <w:vAlign w:val="center"/>
          </w:tcPr>
          <w:p w14:paraId="2FFEE01F" w14:textId="23420664" w:rsidR="00F23C5F" w:rsidRPr="002A52C7" w:rsidRDefault="00F23C5F" w:rsidP="00A34280">
            <w:pPr>
              <w:spacing w:after="0"/>
              <w:jc w:val="center"/>
              <w:rPr>
                <w:rFonts w:ascii="Verdana" w:hAnsi="Verdana"/>
              </w:rPr>
            </w:pPr>
            <w:r>
              <w:rPr>
                <w:rFonts w:ascii="Verdana" w:hAnsi="Verdana"/>
                <w:sz w:val="16"/>
              </w:rPr>
              <w:t>2D + NMS 3D</w:t>
            </w:r>
          </w:p>
        </w:tc>
        <w:tc>
          <w:tcPr>
            <w:tcW w:w="1020" w:type="dxa"/>
            <w:tcBorders>
              <w:top w:val="nil"/>
              <w:left w:val="nil"/>
              <w:bottom w:val="nil"/>
              <w:right w:val="nil"/>
            </w:tcBorders>
            <w:vAlign w:val="center"/>
          </w:tcPr>
          <w:p w14:paraId="5FE8C267" w14:textId="12D9D439" w:rsidR="00F23C5F" w:rsidRPr="002A52C7" w:rsidRDefault="00F23C5F" w:rsidP="00A34280">
            <w:pPr>
              <w:spacing w:after="0"/>
              <w:jc w:val="center"/>
              <w:rPr>
                <w:rFonts w:ascii="Verdana" w:hAnsi="Verdana"/>
              </w:rPr>
            </w:pPr>
            <w:r>
              <w:rPr>
                <w:rFonts w:ascii="Verdana" w:hAnsi="Verdana"/>
                <w:sz w:val="16"/>
              </w:rPr>
              <w:t>94,59</w:t>
            </w:r>
            <w:r w:rsidRPr="002A52C7">
              <w:rPr>
                <w:rFonts w:ascii="Verdana" w:hAnsi="Verdana"/>
                <w:sz w:val="16"/>
              </w:rPr>
              <w:t xml:space="preserve"> %</w:t>
            </w:r>
          </w:p>
        </w:tc>
        <w:tc>
          <w:tcPr>
            <w:tcW w:w="1020" w:type="dxa"/>
            <w:tcBorders>
              <w:top w:val="nil"/>
              <w:left w:val="nil"/>
              <w:bottom w:val="nil"/>
              <w:right w:val="nil"/>
            </w:tcBorders>
            <w:vAlign w:val="center"/>
          </w:tcPr>
          <w:p w14:paraId="7F76CBA5" w14:textId="058BDCA8" w:rsidR="00F23C5F" w:rsidRPr="002A52C7" w:rsidRDefault="00F23C5F" w:rsidP="00A34280">
            <w:pPr>
              <w:spacing w:after="0"/>
              <w:jc w:val="center"/>
              <w:rPr>
                <w:rFonts w:ascii="Verdana" w:hAnsi="Verdana"/>
              </w:rPr>
            </w:pPr>
            <w:r>
              <w:rPr>
                <w:rFonts w:ascii="Verdana" w:hAnsi="Verdana"/>
                <w:sz w:val="16"/>
              </w:rPr>
              <w:t>91,04</w:t>
            </w:r>
            <w:r w:rsidRPr="002A52C7">
              <w:rPr>
                <w:rFonts w:ascii="Verdana" w:hAnsi="Verdana"/>
                <w:sz w:val="16"/>
              </w:rPr>
              <w:t xml:space="preserve"> %</w:t>
            </w:r>
          </w:p>
        </w:tc>
        <w:tc>
          <w:tcPr>
            <w:tcW w:w="1020" w:type="dxa"/>
            <w:tcBorders>
              <w:top w:val="nil"/>
              <w:left w:val="nil"/>
              <w:bottom w:val="nil"/>
              <w:right w:val="nil"/>
            </w:tcBorders>
            <w:vAlign w:val="center"/>
          </w:tcPr>
          <w:p w14:paraId="0B6F7E2B" w14:textId="54832531" w:rsidR="00F23C5F" w:rsidRPr="002A52C7" w:rsidRDefault="00F23C5F" w:rsidP="00A34280">
            <w:pPr>
              <w:spacing w:after="0"/>
              <w:jc w:val="center"/>
              <w:rPr>
                <w:rFonts w:ascii="Verdana" w:hAnsi="Verdana"/>
              </w:rPr>
            </w:pPr>
            <w:r>
              <w:rPr>
                <w:rFonts w:ascii="Verdana" w:hAnsi="Verdana"/>
                <w:sz w:val="16"/>
              </w:rPr>
              <w:t>0,928</w:t>
            </w:r>
          </w:p>
        </w:tc>
        <w:tc>
          <w:tcPr>
            <w:tcW w:w="1020" w:type="dxa"/>
            <w:tcBorders>
              <w:top w:val="nil"/>
              <w:left w:val="nil"/>
              <w:bottom w:val="nil"/>
              <w:right w:val="nil"/>
            </w:tcBorders>
            <w:vAlign w:val="center"/>
          </w:tcPr>
          <w:p w14:paraId="4F47E999" w14:textId="2C42948D" w:rsidR="00F23C5F" w:rsidRPr="002A52C7" w:rsidRDefault="00F23C5F" w:rsidP="00A34280">
            <w:pPr>
              <w:spacing w:after="0"/>
              <w:jc w:val="center"/>
              <w:rPr>
                <w:rFonts w:ascii="Verdana" w:hAnsi="Verdana"/>
              </w:rPr>
            </w:pPr>
            <w:r>
              <w:rPr>
                <w:rFonts w:ascii="Verdana" w:hAnsi="Verdana"/>
                <w:sz w:val="16"/>
              </w:rPr>
              <w:t>CPU</w:t>
            </w:r>
          </w:p>
        </w:tc>
      </w:tr>
      <w:tr w:rsidR="00F23C5F" w:rsidRPr="002A52C7" w14:paraId="0B207EF9" w14:textId="77777777" w:rsidTr="00A34280">
        <w:trPr>
          <w:jc w:val="center"/>
        </w:trPr>
        <w:tc>
          <w:tcPr>
            <w:tcW w:w="2494" w:type="dxa"/>
            <w:tcBorders>
              <w:top w:val="nil"/>
              <w:left w:val="nil"/>
              <w:bottom w:val="nil"/>
              <w:right w:val="nil"/>
            </w:tcBorders>
            <w:vAlign w:val="center"/>
          </w:tcPr>
          <w:p w14:paraId="41E51709" w14:textId="71EF8545" w:rsidR="00F23C5F" w:rsidRPr="002A52C7" w:rsidRDefault="00F23C5F" w:rsidP="00A34280">
            <w:pPr>
              <w:spacing w:after="0"/>
              <w:rPr>
                <w:rFonts w:ascii="Verdana" w:hAnsi="Verdana"/>
              </w:rPr>
            </w:pPr>
            <w:r>
              <w:rPr>
                <w:rFonts w:ascii="Verdana" w:hAnsi="Verdana"/>
                <w:sz w:val="16"/>
              </w:rPr>
              <w:t>3D U-Net (Mahajan et al., 2025)</w:t>
            </w:r>
          </w:p>
        </w:tc>
        <w:tc>
          <w:tcPr>
            <w:tcW w:w="1247" w:type="dxa"/>
            <w:tcBorders>
              <w:top w:val="nil"/>
              <w:left w:val="nil"/>
              <w:bottom w:val="nil"/>
              <w:right w:val="nil"/>
            </w:tcBorders>
            <w:vAlign w:val="center"/>
          </w:tcPr>
          <w:p w14:paraId="0CB179BB" w14:textId="4FF1F0DF" w:rsidR="00F23C5F" w:rsidRPr="002A52C7" w:rsidRDefault="00F23C5F" w:rsidP="00A34280">
            <w:pPr>
              <w:spacing w:after="0"/>
              <w:jc w:val="center"/>
              <w:rPr>
                <w:rFonts w:ascii="Verdana" w:hAnsi="Verdana"/>
              </w:rPr>
            </w:pPr>
            <w:r>
              <w:rPr>
                <w:rFonts w:ascii="Verdana" w:hAnsi="Verdana"/>
                <w:sz w:val="16"/>
              </w:rPr>
              <w:t>3D U-Net</w:t>
            </w:r>
          </w:p>
        </w:tc>
        <w:tc>
          <w:tcPr>
            <w:tcW w:w="1020" w:type="dxa"/>
            <w:tcBorders>
              <w:top w:val="nil"/>
              <w:left w:val="nil"/>
              <w:bottom w:val="nil"/>
              <w:right w:val="nil"/>
            </w:tcBorders>
            <w:vAlign w:val="center"/>
          </w:tcPr>
          <w:p w14:paraId="0F97BD06" w14:textId="439883CB" w:rsidR="00F23C5F" w:rsidRPr="002A52C7" w:rsidRDefault="00F23C5F" w:rsidP="00A34280">
            <w:pPr>
              <w:spacing w:after="0"/>
              <w:jc w:val="center"/>
              <w:rPr>
                <w:rFonts w:ascii="Verdana" w:hAnsi="Verdana"/>
              </w:rPr>
            </w:pPr>
            <w:r>
              <w:rPr>
                <w:rFonts w:ascii="Verdana" w:hAnsi="Verdana"/>
                <w:sz w:val="16"/>
              </w:rPr>
              <w:t>90/95</w:t>
            </w:r>
            <w:r w:rsidRPr="002A52C7">
              <w:rPr>
                <w:rFonts w:ascii="Verdana" w:hAnsi="Verdana"/>
                <w:sz w:val="16"/>
              </w:rPr>
              <w:t xml:space="preserve"> %</w:t>
            </w:r>
            <w:r>
              <w:rPr>
                <w:rFonts w:ascii="Verdana" w:hAnsi="Verdana"/>
                <w:sz w:val="16"/>
              </w:rPr>
              <w:t xml:space="preserve"> n/p</w:t>
            </w:r>
          </w:p>
        </w:tc>
        <w:tc>
          <w:tcPr>
            <w:tcW w:w="1020" w:type="dxa"/>
            <w:tcBorders>
              <w:top w:val="nil"/>
              <w:left w:val="nil"/>
              <w:bottom w:val="nil"/>
              <w:right w:val="nil"/>
            </w:tcBorders>
            <w:vAlign w:val="center"/>
          </w:tcPr>
          <w:p w14:paraId="4B3B4A99" w14:textId="711757AD" w:rsidR="00F23C5F" w:rsidRPr="002A52C7" w:rsidRDefault="00F23C5F" w:rsidP="00A34280">
            <w:pPr>
              <w:spacing w:after="0"/>
              <w:jc w:val="center"/>
              <w:rPr>
                <w:rFonts w:ascii="Verdana" w:hAnsi="Verdana"/>
              </w:rPr>
            </w:pPr>
            <w:r>
              <w:rPr>
                <w:rFonts w:ascii="Verdana" w:hAnsi="Verdana"/>
                <w:sz w:val="16"/>
              </w:rPr>
              <w:t>-</w:t>
            </w:r>
          </w:p>
        </w:tc>
        <w:tc>
          <w:tcPr>
            <w:tcW w:w="1020" w:type="dxa"/>
            <w:tcBorders>
              <w:top w:val="nil"/>
              <w:left w:val="nil"/>
              <w:bottom w:val="nil"/>
              <w:right w:val="nil"/>
            </w:tcBorders>
            <w:vAlign w:val="center"/>
          </w:tcPr>
          <w:p w14:paraId="3CA9AAFF" w14:textId="3CF2923F" w:rsidR="00F23C5F" w:rsidRPr="002A52C7" w:rsidRDefault="00F23C5F" w:rsidP="00A34280">
            <w:pPr>
              <w:spacing w:after="0"/>
              <w:jc w:val="center"/>
              <w:rPr>
                <w:rFonts w:ascii="Verdana" w:hAnsi="Verdana"/>
              </w:rPr>
            </w:pPr>
            <w:r>
              <w:rPr>
                <w:rFonts w:ascii="Verdana" w:hAnsi="Verdana"/>
                <w:sz w:val="16"/>
              </w:rPr>
              <w:t>-</w:t>
            </w:r>
          </w:p>
        </w:tc>
        <w:tc>
          <w:tcPr>
            <w:tcW w:w="1020" w:type="dxa"/>
            <w:tcBorders>
              <w:top w:val="nil"/>
              <w:left w:val="nil"/>
              <w:bottom w:val="nil"/>
              <w:right w:val="nil"/>
            </w:tcBorders>
            <w:vAlign w:val="center"/>
          </w:tcPr>
          <w:p w14:paraId="5411C331" w14:textId="704895B2" w:rsidR="00F23C5F" w:rsidRPr="002A52C7" w:rsidRDefault="00F23C5F" w:rsidP="00A34280">
            <w:pPr>
              <w:spacing w:after="0"/>
              <w:jc w:val="center"/>
              <w:rPr>
                <w:rFonts w:ascii="Verdana" w:hAnsi="Verdana"/>
              </w:rPr>
            </w:pPr>
            <w:r>
              <w:rPr>
                <w:rFonts w:ascii="Verdana" w:hAnsi="Verdana"/>
                <w:sz w:val="16"/>
              </w:rPr>
              <w:t>GPU</w:t>
            </w:r>
          </w:p>
        </w:tc>
      </w:tr>
      <w:tr w:rsidR="00F23C5F" w:rsidRPr="002A52C7" w14:paraId="7CA7C287" w14:textId="77777777" w:rsidTr="00F23C5F">
        <w:trPr>
          <w:jc w:val="center"/>
        </w:trPr>
        <w:tc>
          <w:tcPr>
            <w:tcW w:w="2494" w:type="dxa"/>
            <w:tcBorders>
              <w:top w:val="nil"/>
              <w:left w:val="nil"/>
              <w:bottom w:val="nil"/>
              <w:right w:val="nil"/>
            </w:tcBorders>
            <w:vAlign w:val="center"/>
          </w:tcPr>
          <w:p w14:paraId="78B3BE9E" w14:textId="46AF4F48" w:rsidR="00F23C5F" w:rsidRPr="002A52C7" w:rsidRDefault="00F23C5F" w:rsidP="00A34280">
            <w:pPr>
              <w:spacing w:after="0"/>
              <w:rPr>
                <w:rFonts w:ascii="Verdana" w:hAnsi="Verdana"/>
              </w:rPr>
            </w:pPr>
            <w:r>
              <w:rPr>
                <w:rFonts w:ascii="Verdana" w:hAnsi="Verdana"/>
                <w:sz w:val="16"/>
              </w:rPr>
              <w:t>Gebremichael et al. (2026) metaanálisis</w:t>
            </w:r>
          </w:p>
        </w:tc>
        <w:tc>
          <w:tcPr>
            <w:tcW w:w="1247" w:type="dxa"/>
            <w:tcBorders>
              <w:top w:val="nil"/>
              <w:left w:val="nil"/>
              <w:bottom w:val="nil"/>
              <w:right w:val="nil"/>
            </w:tcBorders>
            <w:vAlign w:val="center"/>
          </w:tcPr>
          <w:p w14:paraId="22A49B07" w14:textId="4A5474A9" w:rsidR="00F23C5F" w:rsidRPr="002A52C7" w:rsidRDefault="00F23C5F" w:rsidP="00A34280">
            <w:pPr>
              <w:spacing w:after="0"/>
              <w:jc w:val="center"/>
              <w:rPr>
                <w:rFonts w:ascii="Verdana" w:hAnsi="Verdana"/>
              </w:rPr>
            </w:pPr>
            <w:r>
              <w:rPr>
                <w:rFonts w:ascii="Verdana" w:hAnsi="Verdana"/>
                <w:sz w:val="16"/>
              </w:rPr>
              <w:t>DL-</w:t>
            </w:r>
            <w:proofErr w:type="spellStart"/>
            <w:r>
              <w:rPr>
                <w:rFonts w:ascii="Verdana" w:hAnsi="Verdana"/>
                <w:sz w:val="16"/>
              </w:rPr>
              <w:t>assisted</w:t>
            </w:r>
            <w:proofErr w:type="spellEnd"/>
            <w:r>
              <w:rPr>
                <w:rFonts w:ascii="Verdana" w:hAnsi="Verdana"/>
                <w:sz w:val="16"/>
              </w:rPr>
              <w:t xml:space="preserve"> LDCT</w:t>
            </w:r>
          </w:p>
        </w:tc>
        <w:tc>
          <w:tcPr>
            <w:tcW w:w="1020" w:type="dxa"/>
            <w:tcBorders>
              <w:top w:val="nil"/>
              <w:left w:val="nil"/>
              <w:bottom w:val="nil"/>
              <w:right w:val="nil"/>
            </w:tcBorders>
            <w:vAlign w:val="center"/>
          </w:tcPr>
          <w:p w14:paraId="1FDC171D" w14:textId="31DB463F" w:rsidR="00F23C5F" w:rsidRPr="002A52C7" w:rsidRDefault="00F23C5F" w:rsidP="00A34280">
            <w:pPr>
              <w:spacing w:after="0"/>
              <w:jc w:val="center"/>
              <w:rPr>
                <w:rFonts w:ascii="Verdana" w:hAnsi="Verdana"/>
              </w:rPr>
            </w:pPr>
            <w:r>
              <w:rPr>
                <w:rFonts w:ascii="Verdana" w:hAnsi="Verdana"/>
                <w:sz w:val="16"/>
              </w:rPr>
              <w:t>85,4%</w:t>
            </w:r>
          </w:p>
        </w:tc>
        <w:tc>
          <w:tcPr>
            <w:tcW w:w="1020" w:type="dxa"/>
            <w:tcBorders>
              <w:top w:val="nil"/>
              <w:left w:val="nil"/>
              <w:bottom w:val="nil"/>
              <w:right w:val="nil"/>
            </w:tcBorders>
            <w:vAlign w:val="center"/>
          </w:tcPr>
          <w:p w14:paraId="596F7685" w14:textId="095F7C9A" w:rsidR="00F23C5F" w:rsidRPr="002A52C7" w:rsidRDefault="00F23C5F" w:rsidP="00A34280">
            <w:pPr>
              <w:spacing w:after="0"/>
              <w:jc w:val="center"/>
              <w:rPr>
                <w:rFonts w:ascii="Verdana" w:hAnsi="Verdana"/>
              </w:rPr>
            </w:pPr>
            <w:r>
              <w:rPr>
                <w:rFonts w:ascii="Verdana" w:hAnsi="Verdana"/>
                <w:sz w:val="16"/>
              </w:rPr>
              <w:t>83,5</w:t>
            </w:r>
            <w:r w:rsidRPr="002A52C7">
              <w:rPr>
                <w:rFonts w:ascii="Verdana" w:hAnsi="Verdana"/>
                <w:sz w:val="16"/>
              </w:rPr>
              <w:t xml:space="preserve"> %</w:t>
            </w:r>
          </w:p>
        </w:tc>
        <w:tc>
          <w:tcPr>
            <w:tcW w:w="1020" w:type="dxa"/>
            <w:tcBorders>
              <w:top w:val="nil"/>
              <w:left w:val="nil"/>
              <w:bottom w:val="nil"/>
              <w:right w:val="nil"/>
            </w:tcBorders>
            <w:vAlign w:val="center"/>
          </w:tcPr>
          <w:p w14:paraId="2422B4FE" w14:textId="1D378F5E" w:rsidR="00F23C5F" w:rsidRPr="002A52C7" w:rsidRDefault="00F23C5F" w:rsidP="00A34280">
            <w:pPr>
              <w:spacing w:after="0"/>
              <w:jc w:val="center"/>
              <w:rPr>
                <w:rFonts w:ascii="Verdana" w:hAnsi="Verdana"/>
              </w:rPr>
            </w:pPr>
            <w:r>
              <w:rPr>
                <w:rFonts w:ascii="Verdana" w:hAnsi="Verdana"/>
                <w:sz w:val="16"/>
              </w:rPr>
              <w:t>-</w:t>
            </w:r>
          </w:p>
        </w:tc>
        <w:tc>
          <w:tcPr>
            <w:tcW w:w="1020" w:type="dxa"/>
            <w:tcBorders>
              <w:top w:val="nil"/>
              <w:left w:val="nil"/>
              <w:bottom w:val="nil"/>
              <w:right w:val="nil"/>
            </w:tcBorders>
            <w:vAlign w:val="center"/>
          </w:tcPr>
          <w:p w14:paraId="62864498" w14:textId="32F10545" w:rsidR="00F23C5F" w:rsidRPr="002A52C7" w:rsidRDefault="00F23C5F" w:rsidP="00A34280">
            <w:pPr>
              <w:spacing w:after="0"/>
              <w:jc w:val="center"/>
              <w:rPr>
                <w:rFonts w:ascii="Verdana" w:hAnsi="Verdana"/>
              </w:rPr>
            </w:pPr>
            <w:r>
              <w:rPr>
                <w:rFonts w:ascii="Verdana" w:hAnsi="Verdana"/>
                <w:sz w:val="16"/>
              </w:rPr>
              <w:t>Varios</w:t>
            </w:r>
          </w:p>
        </w:tc>
      </w:tr>
      <w:tr w:rsidR="00F23C5F" w:rsidRPr="002A52C7" w14:paraId="5D7955CA" w14:textId="77777777" w:rsidTr="00A34280">
        <w:trPr>
          <w:jc w:val="center"/>
        </w:trPr>
        <w:tc>
          <w:tcPr>
            <w:tcW w:w="2494" w:type="dxa"/>
            <w:tcBorders>
              <w:top w:val="nil"/>
              <w:left w:val="nil"/>
              <w:bottom w:val="single" w:sz="8" w:space="0" w:color="000000"/>
              <w:right w:val="nil"/>
            </w:tcBorders>
            <w:vAlign w:val="center"/>
          </w:tcPr>
          <w:p w14:paraId="27FD9837" w14:textId="670C94F2" w:rsidR="00F23C5F" w:rsidRDefault="00F23C5F" w:rsidP="00A34280">
            <w:pPr>
              <w:spacing w:after="0"/>
              <w:rPr>
                <w:rFonts w:ascii="Verdana" w:hAnsi="Verdana"/>
                <w:sz w:val="16"/>
              </w:rPr>
            </w:pPr>
            <w:r>
              <w:rPr>
                <w:rFonts w:ascii="Verdana" w:hAnsi="Verdana"/>
                <w:sz w:val="16"/>
              </w:rPr>
              <w:t>3D-DCASphereNet (2026)</w:t>
            </w:r>
          </w:p>
        </w:tc>
        <w:tc>
          <w:tcPr>
            <w:tcW w:w="1247" w:type="dxa"/>
            <w:tcBorders>
              <w:top w:val="nil"/>
              <w:left w:val="nil"/>
              <w:bottom w:val="single" w:sz="8" w:space="0" w:color="000000"/>
              <w:right w:val="nil"/>
            </w:tcBorders>
            <w:vAlign w:val="center"/>
          </w:tcPr>
          <w:p w14:paraId="46C542B5" w14:textId="71810E2B" w:rsidR="00F23C5F" w:rsidRDefault="00F23C5F" w:rsidP="00A34280">
            <w:pPr>
              <w:spacing w:after="0"/>
              <w:jc w:val="center"/>
              <w:rPr>
                <w:rFonts w:ascii="Verdana" w:hAnsi="Verdana"/>
                <w:sz w:val="16"/>
              </w:rPr>
            </w:pPr>
            <w:r>
              <w:rPr>
                <w:rFonts w:ascii="Verdana" w:hAnsi="Verdana"/>
                <w:sz w:val="16"/>
              </w:rPr>
              <w:t>Anchor-free 3D</w:t>
            </w:r>
          </w:p>
        </w:tc>
        <w:tc>
          <w:tcPr>
            <w:tcW w:w="1020" w:type="dxa"/>
            <w:tcBorders>
              <w:top w:val="nil"/>
              <w:left w:val="nil"/>
              <w:bottom w:val="single" w:sz="8" w:space="0" w:color="000000"/>
              <w:right w:val="nil"/>
            </w:tcBorders>
            <w:vAlign w:val="center"/>
          </w:tcPr>
          <w:p w14:paraId="189CF398" w14:textId="77777777" w:rsidR="00F23C5F" w:rsidRPr="002A52C7" w:rsidRDefault="00F23C5F" w:rsidP="00A34280">
            <w:pPr>
              <w:spacing w:after="0"/>
              <w:jc w:val="center"/>
              <w:rPr>
                <w:rFonts w:ascii="Verdana" w:hAnsi="Verdana"/>
                <w:sz w:val="16"/>
              </w:rPr>
            </w:pPr>
          </w:p>
        </w:tc>
        <w:tc>
          <w:tcPr>
            <w:tcW w:w="1020" w:type="dxa"/>
            <w:tcBorders>
              <w:top w:val="nil"/>
              <w:left w:val="nil"/>
              <w:bottom w:val="single" w:sz="8" w:space="0" w:color="000000"/>
              <w:right w:val="nil"/>
            </w:tcBorders>
            <w:vAlign w:val="center"/>
          </w:tcPr>
          <w:p w14:paraId="5839DFE4" w14:textId="2F3BE8DA" w:rsidR="00F23C5F" w:rsidRPr="002A52C7" w:rsidRDefault="00F23C5F" w:rsidP="00A34280">
            <w:pPr>
              <w:spacing w:after="0"/>
              <w:jc w:val="center"/>
              <w:rPr>
                <w:rFonts w:ascii="Verdana" w:hAnsi="Verdana"/>
                <w:sz w:val="16"/>
              </w:rPr>
            </w:pPr>
            <w:r>
              <w:rPr>
                <w:rFonts w:ascii="Verdana" w:hAnsi="Verdana"/>
                <w:sz w:val="16"/>
              </w:rPr>
              <w:t>-</w:t>
            </w:r>
          </w:p>
        </w:tc>
        <w:tc>
          <w:tcPr>
            <w:tcW w:w="1020" w:type="dxa"/>
            <w:tcBorders>
              <w:top w:val="nil"/>
              <w:left w:val="nil"/>
              <w:bottom w:val="single" w:sz="8" w:space="0" w:color="000000"/>
              <w:right w:val="nil"/>
            </w:tcBorders>
            <w:vAlign w:val="center"/>
          </w:tcPr>
          <w:p w14:paraId="3F4F0738" w14:textId="1B3C0D5F" w:rsidR="00F23C5F" w:rsidRPr="002A52C7" w:rsidRDefault="00F23C5F" w:rsidP="00A34280">
            <w:pPr>
              <w:spacing w:after="0"/>
              <w:jc w:val="center"/>
              <w:rPr>
                <w:rFonts w:ascii="Verdana" w:hAnsi="Verdana"/>
                <w:sz w:val="16"/>
              </w:rPr>
            </w:pPr>
            <w:r>
              <w:rPr>
                <w:rFonts w:ascii="Verdana" w:hAnsi="Verdana"/>
                <w:sz w:val="16"/>
              </w:rPr>
              <w:t>CPM 94,4%</w:t>
            </w:r>
          </w:p>
        </w:tc>
        <w:tc>
          <w:tcPr>
            <w:tcW w:w="1020" w:type="dxa"/>
            <w:tcBorders>
              <w:top w:val="nil"/>
              <w:left w:val="nil"/>
              <w:bottom w:val="single" w:sz="8" w:space="0" w:color="000000"/>
              <w:right w:val="nil"/>
            </w:tcBorders>
            <w:vAlign w:val="center"/>
          </w:tcPr>
          <w:p w14:paraId="55D4BD91" w14:textId="77D8B126" w:rsidR="00F23C5F" w:rsidRPr="002A52C7" w:rsidRDefault="00F23C5F" w:rsidP="00A34280">
            <w:pPr>
              <w:spacing w:after="0"/>
              <w:jc w:val="center"/>
              <w:rPr>
                <w:rFonts w:ascii="Verdana" w:hAnsi="Verdana"/>
                <w:sz w:val="16"/>
              </w:rPr>
            </w:pPr>
            <w:r>
              <w:rPr>
                <w:rFonts w:ascii="Verdana" w:hAnsi="Verdana"/>
                <w:sz w:val="16"/>
              </w:rPr>
              <w:t>GPU</w:t>
            </w:r>
          </w:p>
        </w:tc>
      </w:tr>
    </w:tbl>
    <w:p w14:paraId="6268D2D5" w14:textId="77777777" w:rsidR="00A929F1" w:rsidRDefault="00A929F1" w:rsidP="003B1235">
      <w:pPr>
        <w:jc w:val="both"/>
        <w:rPr>
          <w:rFonts w:ascii="Verdana" w:hAnsi="Verdana"/>
          <w:bCs/>
        </w:rPr>
      </w:pPr>
    </w:p>
    <w:p w14:paraId="6AF93C0C" w14:textId="62C6F514" w:rsidR="00746DDF" w:rsidRPr="00746DDF" w:rsidRDefault="00746DDF" w:rsidP="00746DDF">
      <w:pPr>
        <w:spacing w:before="20"/>
        <w:rPr>
          <w:rFonts w:ascii="Verdana" w:hAnsi="Verdana"/>
        </w:rPr>
      </w:pPr>
      <w:r w:rsidRPr="002A52C7">
        <w:rPr>
          <w:rFonts w:ascii="Verdana" w:hAnsi="Verdana"/>
          <w:i/>
          <w:sz w:val="18"/>
        </w:rPr>
        <w:t xml:space="preserve">Fuente: </w:t>
      </w:r>
      <w:r>
        <w:rPr>
          <w:rFonts w:ascii="Verdana" w:hAnsi="Verdana"/>
          <w:i/>
          <w:sz w:val="18"/>
        </w:rPr>
        <w:t>Autores</w:t>
      </w:r>
      <w:r w:rsidRPr="002A52C7">
        <w:rPr>
          <w:rFonts w:ascii="Verdana" w:hAnsi="Verdana"/>
          <w:i/>
          <w:sz w:val="18"/>
        </w:rPr>
        <w:t>.</w:t>
      </w:r>
    </w:p>
    <w:p w14:paraId="7322C03F" w14:textId="4BEB91F8" w:rsidR="002049A7" w:rsidRDefault="003B1235" w:rsidP="008A6296">
      <w:pPr>
        <w:jc w:val="both"/>
        <w:rPr>
          <w:rFonts w:ascii="Verdana" w:hAnsi="Verdana"/>
          <w:bCs/>
        </w:rPr>
      </w:pPr>
      <w:r w:rsidRPr="003B1235">
        <w:rPr>
          <w:rFonts w:ascii="Verdana" w:hAnsi="Verdana"/>
          <w:bCs/>
        </w:rPr>
        <w:t>En futuras investigaciones sería necesario ampliar la validación con datos externos, incluir estudios provenientes de instituciones clínicas reales, comparar el desempeño del sistema con la lectura de especialistas y evaluar arquitecturas tridimensionales o modelos híbridos que integren información volumétrica completa. Asimismo, sería pertinente incorporar técnicas de inteligencia artificial explicable que permitan visualizar con mayor claridad las regiones que influyen en la decisión del modelo, fortaleciendo la confianza y la interpretabilidad del sistema.</w:t>
      </w:r>
      <w:r w:rsidR="008A6296">
        <w:rPr>
          <w:rFonts w:ascii="Verdana" w:hAnsi="Verdana"/>
          <w:bCs/>
        </w:rPr>
        <w:t xml:space="preserve"> </w:t>
      </w:r>
    </w:p>
    <w:p w14:paraId="20FFEDC5" w14:textId="77777777" w:rsidR="008A6296" w:rsidRDefault="008A6296" w:rsidP="008A6296">
      <w:pPr>
        <w:jc w:val="both"/>
        <w:rPr>
          <w:rFonts w:ascii="Verdana" w:hAnsi="Verdana"/>
          <w:b/>
          <w:sz w:val="24"/>
          <w:szCs w:val="24"/>
        </w:rPr>
      </w:pPr>
    </w:p>
    <w:p w14:paraId="17363750" w14:textId="5F35EF0B" w:rsidR="00E71CFF" w:rsidRPr="00E71CFF" w:rsidRDefault="008A6296" w:rsidP="003B1235">
      <w:pPr>
        <w:rPr>
          <w:rFonts w:ascii="Verdana" w:hAnsi="Verdana"/>
          <w:b/>
          <w:sz w:val="24"/>
          <w:szCs w:val="24"/>
        </w:rPr>
      </w:pPr>
      <w:r>
        <w:rPr>
          <w:rFonts w:ascii="Verdana" w:hAnsi="Verdana"/>
          <w:b/>
          <w:sz w:val="24"/>
          <w:szCs w:val="24"/>
        </w:rPr>
        <w:t>C</w:t>
      </w:r>
      <w:r w:rsidR="00E71CFF" w:rsidRPr="00E71CFF">
        <w:rPr>
          <w:rFonts w:ascii="Verdana" w:hAnsi="Verdana"/>
          <w:b/>
          <w:sz w:val="24"/>
          <w:szCs w:val="24"/>
        </w:rPr>
        <w:t>ONCLUSIONES.</w:t>
      </w:r>
    </w:p>
    <w:p w14:paraId="65A22799" w14:textId="4991AD1F" w:rsidR="00CA49ED" w:rsidRPr="00CA49ED" w:rsidRDefault="00CA49ED" w:rsidP="00CA49ED">
      <w:pPr>
        <w:jc w:val="both"/>
        <w:rPr>
          <w:rFonts w:ascii="Verdana" w:hAnsi="Verdana"/>
        </w:rPr>
      </w:pPr>
      <w:r w:rsidRPr="00CA49ED">
        <w:rPr>
          <w:rFonts w:ascii="Verdana" w:hAnsi="Verdana"/>
        </w:rPr>
        <w:t>El desarrollo del sistema informático permitió comprobar la viabilidad de aplicar técnicas de aprendizaje profundo y procesamiento de imágenes médicas para apoyar la detección de nódulos pulmonares en estudios de tomografía computarizada. El sistema no reemplaza el criterio clínico ni constituye una herramienta diagnóstica definitiva, pero sí ofrece una aproximación experimental útil para identificar hallazgos sospechosos y orientar la revisión de estudios por parte de especialistas.</w:t>
      </w:r>
    </w:p>
    <w:p w14:paraId="18D5FDAA" w14:textId="77777777" w:rsidR="00CA49ED" w:rsidRPr="00CA49ED" w:rsidRDefault="00CA49ED" w:rsidP="00CA49ED">
      <w:pPr>
        <w:jc w:val="both"/>
        <w:rPr>
          <w:rFonts w:ascii="Verdana" w:hAnsi="Verdana"/>
        </w:rPr>
      </w:pPr>
      <w:r w:rsidRPr="00CA49ED">
        <w:rPr>
          <w:rFonts w:ascii="Verdana" w:hAnsi="Verdana"/>
        </w:rPr>
        <w:t xml:space="preserve">La implementación del proceso ETL fue una etapa fundamental del proyecto, debido a que permitió transformar un conjunto de estudios tomográficos volumétricos y heterogéneos en una base de datos organizada, trazable y adecuada para el entrenamiento de modelos computacionales. Esta fase </w:t>
      </w:r>
      <w:r w:rsidRPr="00CA49ED">
        <w:rPr>
          <w:rFonts w:ascii="Verdana" w:hAnsi="Verdana"/>
        </w:rPr>
        <w:lastRenderedPageBreak/>
        <w:t>evidenció que la calidad del sistema no depende únicamente de la arquitectura de aprendizaje profundo utilizada, sino también de la consistencia en la preparación, normalización y partición de los datos.</w:t>
      </w:r>
    </w:p>
    <w:p w14:paraId="64711781" w14:textId="77777777" w:rsidR="00CA49ED" w:rsidRPr="00CA49ED" w:rsidRDefault="00CA49ED" w:rsidP="00CA49ED">
      <w:pPr>
        <w:jc w:val="both"/>
        <w:rPr>
          <w:rFonts w:ascii="Verdana" w:hAnsi="Verdana"/>
        </w:rPr>
      </w:pPr>
      <w:r w:rsidRPr="00CA49ED">
        <w:rPr>
          <w:rFonts w:ascii="Verdana" w:hAnsi="Verdana"/>
        </w:rPr>
        <w:t>La comparación entre modelos permitió observar una evolución desde enfoques iniciales de clasificación hacia una estrategia más robusta de detección automática. En este proceso, el sistema YOLOv8 Triple Ensemble V31 con supresión no máxima tridimensional mostró el mejor desempeño global, al integrar detección, localización espacial de hallazgos y consolidación de resultados a nivel de paciente.</w:t>
      </w:r>
    </w:p>
    <w:p w14:paraId="619FAB45" w14:textId="77777777" w:rsidR="00CA49ED" w:rsidRPr="00CA49ED" w:rsidRDefault="00CA49ED" w:rsidP="00CA49ED">
      <w:pPr>
        <w:jc w:val="both"/>
        <w:rPr>
          <w:rFonts w:ascii="Verdana" w:hAnsi="Verdana"/>
        </w:rPr>
      </w:pPr>
      <w:r w:rsidRPr="00CA49ED">
        <w:rPr>
          <w:rFonts w:ascii="Verdana" w:hAnsi="Verdana"/>
        </w:rPr>
        <w:t>La evaluación del sistema confirmó que el análisis por paciente ofrece una perspectiva más cercana al posible uso de una herramienta de apoyo diagnóstico que la evaluación aislada por corte o por nódulo individual. Este enfoque permite valorar si el sistema logra alertar sobre pacientes con posibles hallazgos relevantes, lo cual resulta especialmente importante en escenarios de priorización y revisión asistida de imágenes médicas.</w:t>
      </w:r>
    </w:p>
    <w:p w14:paraId="0146DE39" w14:textId="011ED79E" w:rsidR="002049A7" w:rsidRDefault="00CA49ED" w:rsidP="008A6296">
      <w:pPr>
        <w:jc w:val="both"/>
        <w:rPr>
          <w:rFonts w:ascii="Verdana" w:hAnsi="Verdana"/>
        </w:rPr>
      </w:pPr>
      <w:r w:rsidRPr="00CA49ED">
        <w:rPr>
          <w:rFonts w:ascii="Verdana" w:hAnsi="Verdana"/>
        </w:rPr>
        <w:t>Finalmente, los resultados obtenidos muestran que el sistema desarrollado tiene potencial como herramienta académica y experimental de apoyo al análisis radiológico. No obstante, su aplicación en contextos clínicos reales requiere validación externa con datos hospitalarios, comparación directa con especialistas, reducción adicional de falsos positivos y evaluación de su desempeño frente a nódulos pequeños o de baja densidad. Futuras investigaciones deberían ampliar la base de datos, incorporar técnicas de inteligencia artificial explicable y explorar arquitecturas tridimensionales que aprovechen de manera más completa la información volumétrica de las tomografías.</w:t>
      </w:r>
      <w:r w:rsidR="008A6296">
        <w:rPr>
          <w:rFonts w:ascii="Verdana" w:hAnsi="Verdana"/>
        </w:rPr>
        <w:t xml:space="preserve"> </w:t>
      </w:r>
    </w:p>
    <w:p w14:paraId="6A71455C" w14:textId="77777777" w:rsidR="00834E74" w:rsidRDefault="00834E74" w:rsidP="008A6296">
      <w:pPr>
        <w:jc w:val="both"/>
        <w:rPr>
          <w:rFonts w:ascii="Verdana" w:hAnsi="Verdana"/>
          <w:b/>
          <w:sz w:val="24"/>
          <w:szCs w:val="24"/>
        </w:rPr>
      </w:pPr>
    </w:p>
    <w:p w14:paraId="16C7E6F5" w14:textId="77777777" w:rsidR="00D54995" w:rsidRDefault="00000000">
      <w:pPr>
        <w:jc w:val="both"/>
        <w:rPr>
          <w:rFonts w:ascii="Verdana" w:hAnsi="Verdana"/>
          <w:b/>
          <w:sz w:val="24"/>
          <w:szCs w:val="24"/>
        </w:rPr>
      </w:pPr>
      <w:r>
        <w:rPr>
          <w:rFonts w:ascii="Verdana" w:hAnsi="Verdana"/>
          <w:b/>
          <w:sz w:val="24"/>
          <w:szCs w:val="24"/>
        </w:rPr>
        <w:t>MATERIAL SUPLEMENTARIO.</w:t>
      </w:r>
    </w:p>
    <w:p w14:paraId="667BC23B" w14:textId="167EC63F" w:rsidR="00D54995" w:rsidRPr="00834E74" w:rsidRDefault="00000000" w:rsidP="00834E74">
      <w:pPr>
        <w:jc w:val="both"/>
        <w:rPr>
          <w:rFonts w:ascii="Verdana" w:hAnsi="Verdana"/>
        </w:rPr>
      </w:pPr>
      <w:r>
        <w:rPr>
          <w:rFonts w:ascii="Verdana" w:hAnsi="Verdana"/>
        </w:rPr>
        <w:t>El código fuente del sistema está disponible públicamente en el repositorio de GitHub:</w:t>
      </w:r>
      <w:hyperlink r:id="rId17">
        <w:r w:rsidR="00D54995">
          <w:rPr>
            <w:rFonts w:ascii="Verdana" w:hAnsi="Verdana"/>
            <w:color w:val="0563C1"/>
            <w:u w:val="single"/>
          </w:rPr>
          <w:t>https://github.com/GabrielJaimeDuarte/Programa-Inform-tico-Apoyo-Diagnostico-C-ncer-de-Pulm-n</w:t>
        </w:r>
      </w:hyperlink>
    </w:p>
    <w:p w14:paraId="34D73C2C" w14:textId="77777777" w:rsidR="00D54995" w:rsidRDefault="00000000">
      <w:pPr>
        <w:jc w:val="both"/>
        <w:rPr>
          <w:rFonts w:ascii="Verdana" w:hAnsi="Verdana"/>
          <w:b/>
          <w:sz w:val="24"/>
          <w:szCs w:val="24"/>
        </w:rPr>
      </w:pPr>
      <w:r>
        <w:rPr>
          <w:rFonts w:ascii="Verdana" w:hAnsi="Verdana"/>
          <w:b/>
          <w:sz w:val="24"/>
          <w:szCs w:val="24"/>
        </w:rPr>
        <w:t>CONTRIBUCIÓN DE LOS AUTORES.</w:t>
      </w:r>
    </w:p>
    <w:p w14:paraId="23A56CFD" w14:textId="237FB064" w:rsidR="001E3208" w:rsidRPr="0082123C" w:rsidRDefault="001E3208" w:rsidP="001E3208">
      <w:pPr>
        <w:spacing w:after="0" w:line="240" w:lineRule="auto"/>
        <w:rPr>
          <w:rFonts w:ascii="Verdana" w:hAnsi="Verdana"/>
        </w:rPr>
      </w:pPr>
      <w:r w:rsidRPr="001E3208">
        <w:rPr>
          <w:rFonts w:ascii="Verdana" w:hAnsi="Verdana"/>
          <w:b/>
          <w:bCs/>
        </w:rPr>
        <w:t>Gabriel Jaime Duarte López:</w:t>
      </w:r>
      <w:r>
        <w:rPr>
          <w:rFonts w:ascii="Verdana" w:hAnsi="Verdana"/>
        </w:rPr>
        <w:t xml:space="preserve"> conceptualización, metodología, software, investigación, curación de datos, preparación del borrador original.</w:t>
      </w:r>
    </w:p>
    <w:p w14:paraId="74E62BDA" w14:textId="15848C10" w:rsidR="001E3208" w:rsidRDefault="001E3208" w:rsidP="001E3208">
      <w:pPr>
        <w:spacing w:after="0" w:line="240" w:lineRule="auto"/>
        <w:rPr>
          <w:rFonts w:ascii="Verdana" w:hAnsi="Verdana"/>
        </w:rPr>
      </w:pPr>
      <w:r w:rsidRPr="001E3208">
        <w:rPr>
          <w:rFonts w:ascii="Verdana" w:hAnsi="Verdana"/>
          <w:b/>
          <w:bCs/>
        </w:rPr>
        <w:t>Camilo José Cifuentes Garzón:</w:t>
      </w:r>
      <w:r>
        <w:rPr>
          <w:rFonts w:ascii="Verdana" w:hAnsi="Verdana"/>
        </w:rPr>
        <w:t xml:space="preserve"> conceptualización, metodología, software, investigación, curación de datos, preparación del borrador original.</w:t>
      </w:r>
    </w:p>
    <w:p w14:paraId="12C93FBD" w14:textId="0808C99C" w:rsidR="001E3208" w:rsidRPr="001E3208" w:rsidRDefault="001E3208" w:rsidP="001E3208">
      <w:pPr>
        <w:spacing w:after="0" w:line="240" w:lineRule="auto"/>
        <w:rPr>
          <w:rFonts w:ascii="Verdana" w:hAnsi="Verdana"/>
        </w:rPr>
      </w:pPr>
      <w:r w:rsidRPr="001E3208">
        <w:rPr>
          <w:rFonts w:ascii="Verdana" w:hAnsi="Verdana"/>
          <w:b/>
          <w:bCs/>
        </w:rPr>
        <w:t>Oscar Mauricio Gelvez Lizaraso:</w:t>
      </w:r>
      <w:r>
        <w:rPr>
          <w:rFonts w:ascii="Verdana" w:hAnsi="Verdana"/>
        </w:rPr>
        <w:t xml:space="preserve"> metodología, redacción-revisión y edición, supervisión, administración del proyecto.</w:t>
      </w:r>
    </w:p>
    <w:p w14:paraId="4D9EE5FD" w14:textId="4BBC2DC2" w:rsidR="001E3208" w:rsidRDefault="001E3208" w:rsidP="001E3208">
      <w:pPr>
        <w:spacing w:after="0" w:line="240" w:lineRule="auto"/>
        <w:rPr>
          <w:rFonts w:ascii="Verdana" w:hAnsi="Verdana"/>
        </w:rPr>
      </w:pPr>
      <w:r w:rsidRPr="001E3208">
        <w:rPr>
          <w:rFonts w:ascii="Verdana" w:hAnsi="Verdana"/>
          <w:b/>
          <w:bCs/>
        </w:rPr>
        <w:t>John Monzaide Álvarez Cely:</w:t>
      </w:r>
      <w:r>
        <w:rPr>
          <w:rFonts w:ascii="Verdana" w:hAnsi="Verdana"/>
        </w:rPr>
        <w:t xml:space="preserve"> metodología, redacción-revisión y edición, supervisión.</w:t>
      </w:r>
    </w:p>
    <w:p w14:paraId="77F9EB1D" w14:textId="65C82EE6" w:rsidR="00D54995" w:rsidRPr="008A6296" w:rsidRDefault="00000000" w:rsidP="008A6296">
      <w:pPr>
        <w:jc w:val="both"/>
        <w:rPr>
          <w:rFonts w:ascii="Verdana" w:hAnsi="Verdana"/>
        </w:rPr>
      </w:pPr>
      <w:r>
        <w:rPr>
          <w:rFonts w:ascii="Verdana" w:hAnsi="Verdana"/>
        </w:rPr>
        <w:t>Todos los autores han leído y aceptado la versión publicada del manuscrito.</w:t>
      </w:r>
    </w:p>
    <w:p w14:paraId="49BD9EA3" w14:textId="77777777" w:rsidR="00D54995" w:rsidRDefault="00000000">
      <w:pPr>
        <w:jc w:val="both"/>
        <w:rPr>
          <w:rFonts w:ascii="Verdana" w:hAnsi="Verdana"/>
          <w:b/>
          <w:sz w:val="24"/>
          <w:szCs w:val="24"/>
        </w:rPr>
      </w:pPr>
      <w:r>
        <w:rPr>
          <w:rFonts w:ascii="Verdana" w:hAnsi="Verdana"/>
          <w:b/>
          <w:sz w:val="24"/>
          <w:szCs w:val="24"/>
        </w:rPr>
        <w:lastRenderedPageBreak/>
        <w:t>FINANCIAMIENTO.</w:t>
      </w:r>
    </w:p>
    <w:p w14:paraId="454EC7E5" w14:textId="6D2C8B52" w:rsidR="00D54995" w:rsidRPr="008A6296" w:rsidRDefault="00000000" w:rsidP="008A6296">
      <w:pPr>
        <w:jc w:val="both"/>
        <w:rPr>
          <w:rFonts w:ascii="Verdana" w:hAnsi="Verdana"/>
        </w:rPr>
      </w:pPr>
      <w:r>
        <w:rPr>
          <w:rFonts w:ascii="Verdana" w:hAnsi="Verdana"/>
        </w:rPr>
        <w:t>Esta investigación no recibió financiamiento externo.</w:t>
      </w:r>
    </w:p>
    <w:p w14:paraId="7A57865D" w14:textId="77777777" w:rsidR="00D54995" w:rsidRDefault="00000000">
      <w:pPr>
        <w:jc w:val="both"/>
        <w:rPr>
          <w:rFonts w:ascii="Verdana" w:hAnsi="Verdana"/>
          <w:b/>
          <w:sz w:val="24"/>
          <w:szCs w:val="24"/>
        </w:rPr>
      </w:pPr>
      <w:r>
        <w:rPr>
          <w:rFonts w:ascii="Verdana" w:hAnsi="Verdana"/>
          <w:b/>
          <w:sz w:val="24"/>
          <w:szCs w:val="24"/>
        </w:rPr>
        <w:t>DECLARACIÓN DEL COMITÉ DE ÉTICA.</w:t>
      </w:r>
    </w:p>
    <w:p w14:paraId="16924D53" w14:textId="60E9BD90" w:rsidR="00D54995" w:rsidRPr="008A6296" w:rsidRDefault="00000000" w:rsidP="008A6296">
      <w:pPr>
        <w:jc w:val="both"/>
        <w:rPr>
          <w:rFonts w:ascii="Verdana" w:hAnsi="Verdana"/>
        </w:rPr>
      </w:pPr>
      <w:r>
        <w:rPr>
          <w:rFonts w:ascii="Verdana" w:hAnsi="Verdana"/>
        </w:rPr>
        <w:t>No aplicable. El estudio utilizó exclusivamente conjuntos de datos públicos y anonimizados (LUNA16/LIDC-IDRI), sin recolección directa de información clínica ni intervención sobre pacientes.</w:t>
      </w:r>
    </w:p>
    <w:p w14:paraId="05AD15F7" w14:textId="77777777" w:rsidR="00D54995" w:rsidRDefault="00000000">
      <w:pPr>
        <w:jc w:val="both"/>
        <w:rPr>
          <w:rFonts w:ascii="Verdana" w:hAnsi="Verdana"/>
          <w:b/>
          <w:sz w:val="24"/>
          <w:szCs w:val="24"/>
        </w:rPr>
      </w:pPr>
      <w:r>
        <w:rPr>
          <w:rFonts w:ascii="Verdana" w:hAnsi="Verdana"/>
          <w:b/>
          <w:sz w:val="24"/>
          <w:szCs w:val="24"/>
        </w:rPr>
        <w:t>DECLARACIÓN DE CONSENTIMIENTO INFORMADO.</w:t>
      </w:r>
    </w:p>
    <w:p w14:paraId="43871404" w14:textId="18FE0F37" w:rsidR="00D54995" w:rsidRPr="001E3208" w:rsidRDefault="00000000" w:rsidP="001E3208">
      <w:pPr>
        <w:jc w:val="both"/>
        <w:rPr>
          <w:rFonts w:ascii="Verdana" w:hAnsi="Verdana"/>
        </w:rPr>
      </w:pPr>
      <w:r>
        <w:rPr>
          <w:rFonts w:ascii="Verdana" w:hAnsi="Verdana"/>
        </w:rPr>
        <w:t>No aplicable. No se realizó ninguna intervención directa sobre pacientes ni se recolectaron datos personales.</w:t>
      </w:r>
    </w:p>
    <w:p w14:paraId="3017B0B3" w14:textId="77777777" w:rsidR="00D54995" w:rsidRDefault="00000000">
      <w:pPr>
        <w:jc w:val="both"/>
        <w:rPr>
          <w:rFonts w:ascii="Verdana" w:hAnsi="Verdana"/>
          <w:b/>
          <w:sz w:val="24"/>
          <w:szCs w:val="24"/>
        </w:rPr>
      </w:pPr>
      <w:r>
        <w:rPr>
          <w:rFonts w:ascii="Verdana" w:hAnsi="Verdana"/>
          <w:b/>
          <w:sz w:val="24"/>
          <w:szCs w:val="24"/>
        </w:rPr>
        <w:t>DECLARACIÓN DE DISPONIBILIDAD DE DATOS.</w:t>
      </w:r>
    </w:p>
    <w:p w14:paraId="17E2954D" w14:textId="77777777" w:rsidR="00D54995" w:rsidRDefault="00000000">
      <w:pPr>
        <w:jc w:val="both"/>
        <w:rPr>
          <w:rFonts w:ascii="Verdana" w:hAnsi="Verdana"/>
        </w:rPr>
      </w:pPr>
      <w:r>
        <w:rPr>
          <w:rFonts w:ascii="Verdana" w:hAnsi="Verdana"/>
        </w:rPr>
        <w:t xml:space="preserve">Los conjuntos de datos utilizados en este estudio, LUNA16 y LIDC-IDRI, son de acceso público y pueden obtenerse a través de The </w:t>
      </w:r>
      <w:proofErr w:type="spellStart"/>
      <w:r>
        <w:rPr>
          <w:rFonts w:ascii="Verdana" w:hAnsi="Verdana"/>
        </w:rPr>
        <w:t>Cancer</w:t>
      </w:r>
      <w:proofErr w:type="spellEnd"/>
      <w:r>
        <w:rPr>
          <w:rFonts w:ascii="Verdana" w:hAnsi="Verdana"/>
        </w:rPr>
        <w:t xml:space="preserve"> </w:t>
      </w:r>
      <w:proofErr w:type="spellStart"/>
      <w:r>
        <w:rPr>
          <w:rFonts w:ascii="Verdana" w:hAnsi="Verdana"/>
        </w:rPr>
        <w:t>Imaging</w:t>
      </w:r>
      <w:proofErr w:type="spellEnd"/>
      <w:r>
        <w:rPr>
          <w:rFonts w:ascii="Verdana" w:hAnsi="Verdana"/>
        </w:rPr>
        <w:t xml:space="preserve"> Archive (TCIA). El código fuente desarrollado está disponible en:</w:t>
      </w:r>
      <w:hyperlink r:id="rId18">
        <w:r w:rsidR="00D54995">
          <w:rPr>
            <w:rFonts w:ascii="Verdana" w:hAnsi="Verdana"/>
            <w:color w:val="0563C1"/>
            <w:u w:val="single"/>
          </w:rPr>
          <w:t>https://github.com/GabrielJaimeDuarte/Programa-Inform-tico-Apoyo-Diagnostico-C-ncer-de-Pulm-n</w:t>
        </w:r>
      </w:hyperlink>
    </w:p>
    <w:p w14:paraId="6A866F61" w14:textId="77777777" w:rsidR="00D54995" w:rsidRDefault="00D54995">
      <w:pPr>
        <w:rPr>
          <w:rFonts w:ascii="Verdana" w:hAnsi="Verdana"/>
          <w:b/>
          <w:sz w:val="24"/>
          <w:szCs w:val="24"/>
        </w:rPr>
      </w:pPr>
    </w:p>
    <w:p w14:paraId="426BD639" w14:textId="77777777" w:rsidR="00D54995" w:rsidRDefault="00000000">
      <w:pPr>
        <w:jc w:val="both"/>
        <w:rPr>
          <w:rFonts w:ascii="Verdana" w:hAnsi="Verdana"/>
          <w:b/>
          <w:sz w:val="24"/>
          <w:szCs w:val="24"/>
        </w:rPr>
      </w:pPr>
      <w:r>
        <w:rPr>
          <w:rFonts w:ascii="Verdana" w:hAnsi="Verdana"/>
          <w:b/>
          <w:sz w:val="24"/>
          <w:szCs w:val="24"/>
        </w:rPr>
        <w:t>AGRADECIMIENTOS.</w:t>
      </w:r>
    </w:p>
    <w:p w14:paraId="51E5D0FA" w14:textId="021A2DC9" w:rsidR="00D54995" w:rsidRPr="008A6296" w:rsidRDefault="00000000" w:rsidP="008A6296">
      <w:pPr>
        <w:jc w:val="both"/>
        <w:rPr>
          <w:rFonts w:ascii="Verdana" w:hAnsi="Verdana"/>
        </w:rPr>
      </w:pPr>
      <w:r>
        <w:rPr>
          <w:rFonts w:ascii="Verdana" w:hAnsi="Verdana"/>
        </w:rPr>
        <w:t>Los autores expresan su profundo agradecimiento a sus familias por el apoyo incondicional brindado durante toda la etapa de formación universitaria. Un reconocimiento especial al director del proyecto, Ing. Oscar Mauricio Gelvez Lizaraso, y al codirector, Ing. John Monzaide Álvarez Cely, por su orientación y acompañamiento. Igualmente, a los profesores Giannina Garrido, Jaime Vítola, Armando Mateus, José Paternina, Carlos Mojica y demás docentes de la Universidad Santo Tomás que contribuyeron a la formación académica y al fortalecimiento de este proyecto.</w:t>
      </w:r>
    </w:p>
    <w:p w14:paraId="788EEA52" w14:textId="77777777" w:rsidR="00D54995" w:rsidRDefault="00000000">
      <w:pPr>
        <w:jc w:val="both"/>
        <w:rPr>
          <w:rFonts w:ascii="Verdana" w:hAnsi="Verdana"/>
          <w:b/>
          <w:sz w:val="24"/>
          <w:szCs w:val="24"/>
        </w:rPr>
      </w:pPr>
      <w:r>
        <w:rPr>
          <w:rFonts w:ascii="Verdana" w:hAnsi="Verdana"/>
          <w:b/>
          <w:sz w:val="24"/>
          <w:szCs w:val="24"/>
        </w:rPr>
        <w:t>CONFLICTOS DE INTERESES.</w:t>
      </w:r>
    </w:p>
    <w:p w14:paraId="1DC05463" w14:textId="77777777" w:rsidR="00D54995" w:rsidRDefault="00000000">
      <w:pPr>
        <w:jc w:val="both"/>
        <w:rPr>
          <w:rFonts w:ascii="Verdana" w:hAnsi="Verdana"/>
        </w:rPr>
      </w:pPr>
      <w:r>
        <w:rPr>
          <w:rFonts w:ascii="Verdana" w:hAnsi="Verdana"/>
        </w:rPr>
        <w:t>Los autores declaran no tener conflictos de intereses.</w:t>
      </w:r>
    </w:p>
    <w:p w14:paraId="76721288" w14:textId="77777777" w:rsidR="00D54995" w:rsidRDefault="00D54995">
      <w:pPr>
        <w:rPr>
          <w:rFonts w:ascii="Verdana" w:hAnsi="Verdana"/>
          <w:b/>
          <w:sz w:val="24"/>
          <w:szCs w:val="24"/>
        </w:rPr>
      </w:pPr>
    </w:p>
    <w:p w14:paraId="113DF0EF" w14:textId="787845F3" w:rsidR="007A61C1" w:rsidRDefault="008A6296" w:rsidP="00CA49ED">
      <w:pPr>
        <w:jc w:val="both"/>
        <w:rPr>
          <w:rFonts w:ascii="Verdana" w:hAnsi="Verdana"/>
          <w:b/>
          <w:sz w:val="24"/>
          <w:szCs w:val="24"/>
        </w:rPr>
      </w:pPr>
      <w:r>
        <w:rPr>
          <w:rFonts w:ascii="Verdana" w:hAnsi="Verdana"/>
          <w:b/>
          <w:sz w:val="24"/>
          <w:szCs w:val="24"/>
        </w:rPr>
        <w:t>REFERENCIAS</w:t>
      </w:r>
    </w:p>
    <w:p w14:paraId="1050A851" w14:textId="77777777" w:rsidR="00CA49ED" w:rsidRPr="00CA49ED" w:rsidRDefault="00CA49ED" w:rsidP="00CA49ED">
      <w:pPr>
        <w:rPr>
          <w:rFonts w:ascii="Verdana" w:hAnsi="Verdana"/>
        </w:rPr>
      </w:pPr>
      <w:r w:rsidRPr="00CA49ED">
        <w:rPr>
          <w:rFonts w:ascii="Verdana" w:hAnsi="Verdana"/>
        </w:rPr>
        <w:t xml:space="preserve">[1] Organización Mundial de la Salud. </w:t>
      </w:r>
      <w:r w:rsidRPr="00CB5C95">
        <w:rPr>
          <w:rFonts w:ascii="Verdana" w:hAnsi="Verdana"/>
          <w:lang w:val="en-US"/>
        </w:rPr>
        <w:t xml:space="preserve">(2026). Lung cancer. World Health Organization. </w:t>
      </w:r>
      <w:r w:rsidRPr="00CA49ED">
        <w:rPr>
          <w:rFonts w:ascii="Verdana" w:hAnsi="Verdana"/>
        </w:rPr>
        <w:t>Disponible en línea en el sitio oficial de la OMS. Consultado: 4 de junio de 2026.</w:t>
      </w:r>
    </w:p>
    <w:p w14:paraId="0155D457" w14:textId="77777777" w:rsidR="00CA49ED" w:rsidRPr="00CA49ED" w:rsidRDefault="00CA49ED" w:rsidP="00CA49ED">
      <w:pPr>
        <w:rPr>
          <w:rFonts w:ascii="Verdana" w:hAnsi="Verdana"/>
        </w:rPr>
      </w:pPr>
      <w:r w:rsidRPr="00CA49ED">
        <w:rPr>
          <w:rFonts w:ascii="Verdana" w:hAnsi="Verdana"/>
        </w:rPr>
        <w:t xml:space="preserve">[2] Organización Mundial de la Salud. (2026). </w:t>
      </w:r>
      <w:proofErr w:type="spellStart"/>
      <w:r w:rsidRPr="00CA49ED">
        <w:rPr>
          <w:rFonts w:ascii="Verdana" w:hAnsi="Verdana"/>
        </w:rPr>
        <w:t>Cancer</w:t>
      </w:r>
      <w:proofErr w:type="spellEnd"/>
      <w:r w:rsidRPr="00CA49ED">
        <w:rPr>
          <w:rFonts w:ascii="Verdana" w:hAnsi="Verdana"/>
        </w:rPr>
        <w:t xml:space="preserve">. World Health </w:t>
      </w:r>
      <w:proofErr w:type="spellStart"/>
      <w:r w:rsidRPr="00CA49ED">
        <w:rPr>
          <w:rFonts w:ascii="Verdana" w:hAnsi="Verdana"/>
        </w:rPr>
        <w:t>Organization</w:t>
      </w:r>
      <w:proofErr w:type="spellEnd"/>
      <w:r w:rsidRPr="00CA49ED">
        <w:rPr>
          <w:rFonts w:ascii="Verdana" w:hAnsi="Verdana"/>
        </w:rPr>
        <w:t>. Disponible en línea en el sitio oficial de la OMS. Consultado: 4 de junio de 2026.</w:t>
      </w:r>
    </w:p>
    <w:p w14:paraId="54BFC7D3" w14:textId="77777777" w:rsidR="00CA49ED" w:rsidRPr="00CB5C95" w:rsidRDefault="00CA49ED" w:rsidP="00CA49ED">
      <w:pPr>
        <w:rPr>
          <w:rFonts w:ascii="Verdana" w:hAnsi="Verdana"/>
          <w:lang w:val="en-US"/>
        </w:rPr>
      </w:pPr>
      <w:r w:rsidRPr="00CA49ED">
        <w:rPr>
          <w:rFonts w:ascii="Verdana" w:hAnsi="Verdana"/>
        </w:rPr>
        <w:lastRenderedPageBreak/>
        <w:t xml:space="preserve">[3] Armato, S. G., McLennan, G., </w:t>
      </w:r>
      <w:proofErr w:type="spellStart"/>
      <w:r w:rsidRPr="00CA49ED">
        <w:rPr>
          <w:rFonts w:ascii="Verdana" w:hAnsi="Verdana"/>
        </w:rPr>
        <w:t>Bidaut</w:t>
      </w:r>
      <w:proofErr w:type="spellEnd"/>
      <w:r w:rsidRPr="00CA49ED">
        <w:rPr>
          <w:rFonts w:ascii="Verdana" w:hAnsi="Verdana"/>
        </w:rPr>
        <w:t xml:space="preserve">, L., McNitt-Gray, M. F., Meyer, C. R., Reeves, A. P. et al. </w:t>
      </w:r>
      <w:r w:rsidRPr="00834E74">
        <w:rPr>
          <w:rFonts w:ascii="Verdana" w:hAnsi="Verdana"/>
          <w:lang w:val="en-US"/>
        </w:rPr>
        <w:t xml:space="preserve">(2011). </w:t>
      </w:r>
      <w:r w:rsidRPr="00CB5C95">
        <w:rPr>
          <w:rFonts w:ascii="Verdana" w:hAnsi="Verdana"/>
          <w:lang w:val="en-US"/>
        </w:rPr>
        <w:t>“The Lung Image Database Consortium (LIDC) and Image Database Resource Initiative (IDRI): A completed reference database of lung nodules on CT scans”. Medical Physics, 38(2), pp. 915–931. DOI: 10.1118/1.3528204.</w:t>
      </w:r>
    </w:p>
    <w:p w14:paraId="5C61C8A9" w14:textId="77777777" w:rsidR="00CA49ED" w:rsidRPr="00CB5C95" w:rsidRDefault="00CA49ED" w:rsidP="00CA49ED">
      <w:pPr>
        <w:rPr>
          <w:rFonts w:ascii="Verdana" w:hAnsi="Verdana"/>
          <w:lang w:val="en-US"/>
        </w:rPr>
      </w:pPr>
      <w:r w:rsidRPr="00CB5C95">
        <w:rPr>
          <w:rFonts w:ascii="Verdana" w:hAnsi="Verdana"/>
          <w:lang w:val="en-US"/>
        </w:rPr>
        <w:t xml:space="preserve">[4] Clark, K., Vendt, B., Smith, K., Freymann, J., Kirby, J., Koppel, P. et al. </w:t>
      </w:r>
      <w:r w:rsidRPr="00834E74">
        <w:rPr>
          <w:rFonts w:ascii="Verdana" w:hAnsi="Verdana"/>
          <w:lang w:val="en-US"/>
        </w:rPr>
        <w:t xml:space="preserve">(2013). </w:t>
      </w:r>
      <w:r w:rsidRPr="00CB5C95">
        <w:rPr>
          <w:rFonts w:ascii="Verdana" w:hAnsi="Verdana"/>
          <w:lang w:val="en-US"/>
        </w:rPr>
        <w:t>“The Cancer Imaging Archive (TCIA): Maintaining and operating a public information repository”. Journal of Digital Imaging, 26(6), pp. 1045–1057. DOI: 10.1007/s10278-013-9622-7.</w:t>
      </w:r>
    </w:p>
    <w:p w14:paraId="2E5BECFD" w14:textId="77777777" w:rsidR="00CA49ED" w:rsidRPr="00CB5C95" w:rsidRDefault="00CA49ED" w:rsidP="00CA49ED">
      <w:pPr>
        <w:rPr>
          <w:rFonts w:ascii="Verdana" w:hAnsi="Verdana"/>
          <w:lang w:val="en-US"/>
        </w:rPr>
      </w:pPr>
      <w:r w:rsidRPr="00CB5C95">
        <w:rPr>
          <w:rFonts w:ascii="Verdana" w:hAnsi="Verdana"/>
          <w:lang w:val="en-US"/>
        </w:rPr>
        <w:t xml:space="preserve">[5] </w:t>
      </w:r>
      <w:proofErr w:type="spellStart"/>
      <w:r w:rsidRPr="00CB5C95">
        <w:rPr>
          <w:rFonts w:ascii="Verdana" w:hAnsi="Verdana"/>
          <w:lang w:val="en-US"/>
        </w:rPr>
        <w:t>Setio</w:t>
      </w:r>
      <w:proofErr w:type="spellEnd"/>
      <w:r w:rsidRPr="00CB5C95">
        <w:rPr>
          <w:rFonts w:ascii="Verdana" w:hAnsi="Verdana"/>
          <w:lang w:val="en-US"/>
        </w:rPr>
        <w:t xml:space="preserve">, A. A. A., Traverso, A., de Bel, T., Berens, M. S. N., van den Bogaard, C., Cerello, P. et al. </w:t>
      </w:r>
      <w:r w:rsidRPr="00834E74">
        <w:rPr>
          <w:rFonts w:ascii="Verdana" w:hAnsi="Verdana"/>
          <w:lang w:val="en-US"/>
        </w:rPr>
        <w:t xml:space="preserve">(2017). </w:t>
      </w:r>
      <w:r w:rsidRPr="00CB5C95">
        <w:rPr>
          <w:rFonts w:ascii="Verdana" w:hAnsi="Verdana"/>
          <w:lang w:val="en-US"/>
        </w:rPr>
        <w:t>“Validation, comparison, and combination of algorithms for automatic detection of pulmonary nodules in computed tomography images: The LUNA16 challenge”. Medical Image Analysis, 42, pp. 1–13. DOI: 10.1016/j.media.2017.06.015.</w:t>
      </w:r>
    </w:p>
    <w:p w14:paraId="179F677A" w14:textId="77777777" w:rsidR="00CA49ED" w:rsidRPr="00CB5C95" w:rsidRDefault="00CA49ED" w:rsidP="00CA49ED">
      <w:pPr>
        <w:rPr>
          <w:rFonts w:ascii="Verdana" w:hAnsi="Verdana"/>
          <w:lang w:val="en-US"/>
        </w:rPr>
      </w:pPr>
      <w:r w:rsidRPr="00CB5C95">
        <w:rPr>
          <w:rFonts w:ascii="Verdana" w:hAnsi="Verdana"/>
          <w:lang w:val="en-US"/>
        </w:rPr>
        <w:t xml:space="preserve">[6] Ardila, D., Kiraly, A. P., Bharadwaj, S., Choi, B., Reicher, J. J., Peng, L. et al. </w:t>
      </w:r>
      <w:r w:rsidRPr="00834E74">
        <w:rPr>
          <w:rFonts w:ascii="Verdana" w:hAnsi="Verdana"/>
          <w:lang w:val="en-US"/>
        </w:rPr>
        <w:t xml:space="preserve">(2019). </w:t>
      </w:r>
      <w:r w:rsidRPr="00CB5C95">
        <w:rPr>
          <w:rFonts w:ascii="Verdana" w:hAnsi="Verdana"/>
          <w:lang w:val="en-US"/>
        </w:rPr>
        <w:t>“End-to-end lung cancer screening with three-dimensional deep learning on low-dose chest computed tomography”. Nature Medicine, 25, pp. 954–961. DOI: 10.1038/s41591-019-0447-x.</w:t>
      </w:r>
    </w:p>
    <w:p w14:paraId="59516452" w14:textId="77777777" w:rsidR="00CA49ED" w:rsidRPr="00CB5C95" w:rsidRDefault="00CA49ED" w:rsidP="00CA49ED">
      <w:pPr>
        <w:rPr>
          <w:rFonts w:ascii="Verdana" w:hAnsi="Verdana"/>
          <w:lang w:val="en-US"/>
        </w:rPr>
      </w:pPr>
      <w:r w:rsidRPr="00CB5C95">
        <w:rPr>
          <w:rFonts w:ascii="Verdana" w:hAnsi="Verdana"/>
          <w:lang w:val="en-US"/>
        </w:rPr>
        <w:t xml:space="preserve">[7] Gu, Y., Lu, X., Yang, L., Zhang, B., Yu, D., Zhao, Y. et al. </w:t>
      </w:r>
      <w:r w:rsidRPr="00834E74">
        <w:rPr>
          <w:rFonts w:ascii="Verdana" w:hAnsi="Verdana"/>
          <w:lang w:val="en-US"/>
        </w:rPr>
        <w:t xml:space="preserve">(2021). </w:t>
      </w:r>
      <w:r w:rsidRPr="00CB5C95">
        <w:rPr>
          <w:rFonts w:ascii="Verdana" w:hAnsi="Verdana"/>
          <w:lang w:val="en-US"/>
        </w:rPr>
        <w:t>“A survey of computer-aided diagnosis of lung nodules from CT scans using deep learning”. Computers in Biology and Medicine, 137, 104806. DOI: 10.1016/j.compbiomed.2021.104806.</w:t>
      </w:r>
    </w:p>
    <w:p w14:paraId="2282960D" w14:textId="77777777" w:rsidR="00CA49ED" w:rsidRPr="00CB5C95" w:rsidRDefault="00CA49ED" w:rsidP="00CA49ED">
      <w:pPr>
        <w:rPr>
          <w:rFonts w:ascii="Verdana" w:hAnsi="Verdana"/>
          <w:lang w:val="en-US"/>
        </w:rPr>
      </w:pPr>
      <w:r w:rsidRPr="00CB5C95">
        <w:rPr>
          <w:rFonts w:ascii="Verdana" w:hAnsi="Verdana"/>
          <w:lang w:val="en-US"/>
        </w:rPr>
        <w:t>[8] Gao, C., Wu, L., Wu, W., Huang, Y., Wang, X., Sun, Z., Xu, M. y Gao, C. (2025). “Deep learning in pulmonary nodule detection and segmentation: A systematic review”. European Radiology, 35, pp. 255–266. DOI: 10.1007/s00330-024-10907-0.</w:t>
      </w:r>
    </w:p>
    <w:p w14:paraId="06C338A8" w14:textId="77777777" w:rsidR="00CA49ED" w:rsidRPr="00CB5C95" w:rsidRDefault="00CA49ED" w:rsidP="00CA49ED">
      <w:pPr>
        <w:rPr>
          <w:rFonts w:ascii="Verdana" w:hAnsi="Verdana"/>
          <w:lang w:val="en-US"/>
        </w:rPr>
      </w:pPr>
      <w:r w:rsidRPr="00CB5C95">
        <w:rPr>
          <w:rFonts w:ascii="Verdana" w:hAnsi="Verdana"/>
          <w:lang w:val="en-US"/>
        </w:rPr>
        <w:t xml:space="preserve">[9] Ding, J., Li, A., Hu, Z. y Wang, L. (2017). “Accurate pulmonary nodule detection in computed tomography images using deep convolutional neural networks”. </w:t>
      </w:r>
      <w:proofErr w:type="spellStart"/>
      <w:r w:rsidRPr="00CB5C95">
        <w:rPr>
          <w:rFonts w:ascii="Verdana" w:hAnsi="Verdana"/>
          <w:lang w:val="en-US"/>
        </w:rPr>
        <w:t>arXiv</w:t>
      </w:r>
      <w:proofErr w:type="spellEnd"/>
      <w:r w:rsidRPr="00CB5C95">
        <w:rPr>
          <w:rFonts w:ascii="Verdana" w:hAnsi="Verdana"/>
          <w:lang w:val="en-US"/>
        </w:rPr>
        <w:t xml:space="preserve"> preprint arXiv:1706.04303.</w:t>
      </w:r>
    </w:p>
    <w:p w14:paraId="0A6146E6" w14:textId="77777777" w:rsidR="00CA49ED" w:rsidRPr="00CB5C95" w:rsidRDefault="00CA49ED" w:rsidP="00CA49ED">
      <w:pPr>
        <w:rPr>
          <w:rFonts w:ascii="Verdana" w:hAnsi="Verdana"/>
          <w:lang w:val="en-US"/>
        </w:rPr>
      </w:pPr>
      <w:r w:rsidRPr="00CB5C95">
        <w:rPr>
          <w:rFonts w:ascii="Verdana" w:hAnsi="Verdana"/>
          <w:lang w:val="en-US"/>
        </w:rPr>
        <w:t xml:space="preserve">[10] Dou, Q., Chen, H., Jin, Y., Lin, H., Qin, J. y Heng, P. A. (2017). “Automated pulmonary nodule detection via 3D </w:t>
      </w:r>
      <w:proofErr w:type="spellStart"/>
      <w:r w:rsidRPr="00CB5C95">
        <w:rPr>
          <w:rFonts w:ascii="Verdana" w:hAnsi="Verdana"/>
          <w:lang w:val="en-US"/>
        </w:rPr>
        <w:t>ConvNets</w:t>
      </w:r>
      <w:proofErr w:type="spellEnd"/>
      <w:r w:rsidRPr="00CB5C95">
        <w:rPr>
          <w:rFonts w:ascii="Verdana" w:hAnsi="Verdana"/>
          <w:lang w:val="en-US"/>
        </w:rPr>
        <w:t xml:space="preserve"> with online sample filtering and hybrid-loss residual learning”. </w:t>
      </w:r>
      <w:proofErr w:type="spellStart"/>
      <w:r w:rsidRPr="00CB5C95">
        <w:rPr>
          <w:rFonts w:ascii="Verdana" w:hAnsi="Verdana"/>
          <w:lang w:val="en-US"/>
        </w:rPr>
        <w:t>arXiv</w:t>
      </w:r>
      <w:proofErr w:type="spellEnd"/>
      <w:r w:rsidRPr="00CB5C95">
        <w:rPr>
          <w:rFonts w:ascii="Verdana" w:hAnsi="Verdana"/>
          <w:lang w:val="en-US"/>
        </w:rPr>
        <w:t xml:space="preserve"> preprint arXiv:1708.03867.</w:t>
      </w:r>
    </w:p>
    <w:p w14:paraId="2AAF4FF4" w14:textId="5BA68332" w:rsidR="00CA49ED" w:rsidRPr="00CA49ED" w:rsidRDefault="00CA49ED" w:rsidP="00CA49ED">
      <w:pPr>
        <w:rPr>
          <w:rFonts w:ascii="Verdana" w:hAnsi="Verdana"/>
        </w:rPr>
      </w:pPr>
      <w:r w:rsidRPr="00CB5C95">
        <w:rPr>
          <w:rFonts w:ascii="Verdana" w:hAnsi="Verdana"/>
          <w:lang w:val="en-US"/>
        </w:rPr>
        <w:t xml:space="preserve">[11] He, K., Zhang, X., Ren, S. y Sun, J. (2016). “Deep residual learning for image recognition”. En: Proceedings of the IEEE Conference on Computer Vision and Pattern Recognition. </w:t>
      </w:r>
      <w:r w:rsidRPr="00CA49ED">
        <w:rPr>
          <w:rFonts w:ascii="Verdana" w:hAnsi="Verdana"/>
        </w:rPr>
        <w:t>Las Vegas: IEEE, pp. 770–778. DOI: 10.1109/CVPR.2016.90.</w:t>
      </w:r>
    </w:p>
    <w:p w14:paraId="229B0D13" w14:textId="77777777" w:rsidR="00CA49ED" w:rsidRPr="00CB5C95" w:rsidRDefault="00CA49ED" w:rsidP="00CA49ED">
      <w:pPr>
        <w:rPr>
          <w:rFonts w:ascii="Verdana" w:hAnsi="Verdana"/>
          <w:lang w:val="en-US"/>
        </w:rPr>
      </w:pPr>
      <w:r w:rsidRPr="00CA49ED">
        <w:rPr>
          <w:rFonts w:ascii="Verdana" w:hAnsi="Verdana"/>
        </w:rPr>
        <w:t xml:space="preserve">[12] Tan, M. y Le, Q. V. (2019). </w:t>
      </w:r>
      <w:r w:rsidRPr="00CB5C95">
        <w:rPr>
          <w:rFonts w:ascii="Verdana" w:hAnsi="Verdana"/>
          <w:lang w:val="en-US"/>
        </w:rPr>
        <w:t>“</w:t>
      </w:r>
      <w:proofErr w:type="spellStart"/>
      <w:r w:rsidRPr="00CB5C95">
        <w:rPr>
          <w:rFonts w:ascii="Verdana" w:hAnsi="Verdana"/>
          <w:lang w:val="en-US"/>
        </w:rPr>
        <w:t>EfficientNet</w:t>
      </w:r>
      <w:proofErr w:type="spellEnd"/>
      <w:r w:rsidRPr="00CB5C95">
        <w:rPr>
          <w:rFonts w:ascii="Verdana" w:hAnsi="Verdana"/>
          <w:lang w:val="en-US"/>
        </w:rPr>
        <w:t>: Rethinking model scaling for convolutional neural networks”. En: Proceedings of the 36th International Conference on Machine Learning. Proceedings of Machine Learning Research, 97, pp. 6105–6114.</w:t>
      </w:r>
    </w:p>
    <w:p w14:paraId="315145AE" w14:textId="77777777" w:rsidR="00CA49ED" w:rsidRPr="00CA49ED" w:rsidRDefault="00CA49ED" w:rsidP="00CA49ED">
      <w:pPr>
        <w:rPr>
          <w:rFonts w:ascii="Verdana" w:hAnsi="Verdana"/>
        </w:rPr>
      </w:pPr>
      <w:r w:rsidRPr="00CB5C95">
        <w:rPr>
          <w:rFonts w:ascii="Verdana" w:hAnsi="Verdana"/>
          <w:lang w:val="en-US"/>
        </w:rPr>
        <w:lastRenderedPageBreak/>
        <w:t xml:space="preserve">[13] Lin, T. Y., Goyal, P., Girshick, R., He, K. y </w:t>
      </w:r>
      <w:proofErr w:type="spellStart"/>
      <w:r w:rsidRPr="00CB5C95">
        <w:rPr>
          <w:rFonts w:ascii="Verdana" w:hAnsi="Verdana"/>
          <w:lang w:val="en-US"/>
        </w:rPr>
        <w:t>Dollár</w:t>
      </w:r>
      <w:proofErr w:type="spellEnd"/>
      <w:r w:rsidRPr="00CB5C95">
        <w:rPr>
          <w:rFonts w:ascii="Verdana" w:hAnsi="Verdana"/>
          <w:lang w:val="en-US"/>
        </w:rPr>
        <w:t xml:space="preserve">, P. (2017). “Focal loss for dense object detection”. En: Proceedings of the IEEE International Conference on Computer Vision. </w:t>
      </w:r>
      <w:r w:rsidRPr="00CA49ED">
        <w:rPr>
          <w:rFonts w:ascii="Verdana" w:hAnsi="Verdana"/>
        </w:rPr>
        <w:t>Venice: IEEE, pp. 2980–2988. DOI: 10.1109/ICCV.2017.324.</w:t>
      </w:r>
    </w:p>
    <w:p w14:paraId="15EAEB65" w14:textId="77777777" w:rsidR="00CA49ED" w:rsidRPr="00CA49ED" w:rsidRDefault="00CA49ED" w:rsidP="00CA49ED">
      <w:pPr>
        <w:rPr>
          <w:rFonts w:ascii="Verdana" w:hAnsi="Verdana"/>
        </w:rPr>
      </w:pPr>
      <w:r w:rsidRPr="00CA49ED">
        <w:rPr>
          <w:rFonts w:ascii="Verdana" w:hAnsi="Verdana"/>
        </w:rPr>
        <w:t xml:space="preserve">[14] </w:t>
      </w:r>
      <w:proofErr w:type="spellStart"/>
      <w:r w:rsidRPr="00CA49ED">
        <w:rPr>
          <w:rFonts w:ascii="Verdana" w:hAnsi="Verdana"/>
        </w:rPr>
        <w:t>Jocher</w:t>
      </w:r>
      <w:proofErr w:type="spellEnd"/>
      <w:r w:rsidRPr="00CA49ED">
        <w:rPr>
          <w:rFonts w:ascii="Verdana" w:hAnsi="Verdana"/>
        </w:rPr>
        <w:t xml:space="preserve">, G., Chaurasia, A. y Qiu, J. (2023). </w:t>
      </w:r>
      <w:proofErr w:type="spellStart"/>
      <w:r w:rsidRPr="00CA49ED">
        <w:rPr>
          <w:rFonts w:ascii="Verdana" w:hAnsi="Verdana"/>
        </w:rPr>
        <w:t>Ultralytics</w:t>
      </w:r>
      <w:proofErr w:type="spellEnd"/>
      <w:r w:rsidRPr="00CA49ED">
        <w:rPr>
          <w:rFonts w:ascii="Verdana" w:hAnsi="Verdana"/>
        </w:rPr>
        <w:t xml:space="preserve"> YOLOv8. </w:t>
      </w:r>
      <w:proofErr w:type="spellStart"/>
      <w:r w:rsidRPr="00CA49ED">
        <w:rPr>
          <w:rFonts w:ascii="Verdana" w:hAnsi="Verdana"/>
        </w:rPr>
        <w:t>Computer</w:t>
      </w:r>
      <w:proofErr w:type="spellEnd"/>
      <w:r w:rsidRPr="00CA49ED">
        <w:rPr>
          <w:rFonts w:ascii="Verdana" w:hAnsi="Verdana"/>
        </w:rPr>
        <w:t xml:space="preserve"> software. Disponible en línea en el repositorio oficial de </w:t>
      </w:r>
      <w:proofErr w:type="spellStart"/>
      <w:r w:rsidRPr="00CA49ED">
        <w:rPr>
          <w:rFonts w:ascii="Verdana" w:hAnsi="Verdana"/>
        </w:rPr>
        <w:t>Ultralytics</w:t>
      </w:r>
      <w:proofErr w:type="spellEnd"/>
      <w:r w:rsidRPr="00CA49ED">
        <w:rPr>
          <w:rFonts w:ascii="Verdana" w:hAnsi="Verdana"/>
        </w:rPr>
        <w:t>. Consultado: 4 de junio de 2026.</w:t>
      </w:r>
    </w:p>
    <w:p w14:paraId="70554A98" w14:textId="77777777" w:rsidR="00CA49ED" w:rsidRPr="00CB5C95" w:rsidRDefault="00CA49ED" w:rsidP="00CA49ED">
      <w:pPr>
        <w:rPr>
          <w:rFonts w:ascii="Verdana" w:hAnsi="Verdana"/>
          <w:lang w:val="en-US"/>
        </w:rPr>
      </w:pPr>
      <w:r w:rsidRPr="00CA49ED">
        <w:rPr>
          <w:rFonts w:ascii="Verdana" w:hAnsi="Verdana"/>
        </w:rPr>
        <w:t xml:space="preserve">[15] </w:t>
      </w:r>
      <w:proofErr w:type="spellStart"/>
      <w:r w:rsidRPr="00CA49ED">
        <w:rPr>
          <w:rFonts w:ascii="Verdana" w:hAnsi="Verdana"/>
        </w:rPr>
        <w:t>Paszke</w:t>
      </w:r>
      <w:proofErr w:type="spellEnd"/>
      <w:r w:rsidRPr="00CA49ED">
        <w:rPr>
          <w:rFonts w:ascii="Verdana" w:hAnsi="Verdana"/>
        </w:rPr>
        <w:t xml:space="preserve">, A., Gross, S., Massa, F., Lerer, A., Bradbury, J., Chanan, G. et al. </w:t>
      </w:r>
      <w:r w:rsidRPr="00834E74">
        <w:rPr>
          <w:rFonts w:ascii="Verdana" w:hAnsi="Verdana"/>
          <w:lang w:val="en-US"/>
        </w:rPr>
        <w:t xml:space="preserve">(2019). </w:t>
      </w:r>
      <w:r w:rsidRPr="00CB5C95">
        <w:rPr>
          <w:rFonts w:ascii="Verdana" w:hAnsi="Verdana"/>
          <w:lang w:val="en-US"/>
        </w:rPr>
        <w:t>“PyTorch: An imperative style, high-performance deep learning library”. En: Advances in Neural Information Processing Systems, 32.</w:t>
      </w:r>
    </w:p>
    <w:p w14:paraId="131B9F4F" w14:textId="77777777" w:rsidR="00CA49ED" w:rsidRPr="00CB5C95" w:rsidRDefault="00CA49ED" w:rsidP="00CA49ED">
      <w:pPr>
        <w:rPr>
          <w:rFonts w:ascii="Verdana" w:hAnsi="Verdana"/>
          <w:lang w:val="en-US"/>
        </w:rPr>
      </w:pPr>
      <w:r w:rsidRPr="00CB5C95">
        <w:rPr>
          <w:rFonts w:ascii="Verdana" w:hAnsi="Verdana"/>
          <w:lang w:val="en-US"/>
        </w:rPr>
        <w:t xml:space="preserve">[16] Cardoso, M. J., Li, W., Brown, R., Ma, N., Kerfoot, E., Wang, Y. et al. </w:t>
      </w:r>
      <w:r w:rsidRPr="00834E74">
        <w:rPr>
          <w:rFonts w:ascii="Verdana" w:hAnsi="Verdana"/>
          <w:lang w:val="en-US"/>
        </w:rPr>
        <w:t xml:space="preserve">(2022). </w:t>
      </w:r>
      <w:r w:rsidRPr="00CB5C95">
        <w:rPr>
          <w:rFonts w:ascii="Verdana" w:hAnsi="Verdana"/>
          <w:lang w:val="en-US"/>
        </w:rPr>
        <w:t xml:space="preserve">“MONAI: An open-source framework for deep learning in healthcare”. </w:t>
      </w:r>
      <w:proofErr w:type="spellStart"/>
      <w:r w:rsidRPr="00CB5C95">
        <w:rPr>
          <w:rFonts w:ascii="Verdana" w:hAnsi="Verdana"/>
          <w:lang w:val="en-US"/>
        </w:rPr>
        <w:t>arXiv</w:t>
      </w:r>
      <w:proofErr w:type="spellEnd"/>
      <w:r w:rsidRPr="00CB5C95">
        <w:rPr>
          <w:rFonts w:ascii="Verdana" w:hAnsi="Verdana"/>
          <w:lang w:val="en-US"/>
        </w:rPr>
        <w:t xml:space="preserve"> preprint arXiv:2211.02701.</w:t>
      </w:r>
    </w:p>
    <w:p w14:paraId="25BB575E" w14:textId="77777777" w:rsidR="00CA49ED" w:rsidRPr="00CB5C95" w:rsidRDefault="00CA49ED" w:rsidP="00CA49ED">
      <w:pPr>
        <w:rPr>
          <w:rFonts w:ascii="Verdana" w:hAnsi="Verdana"/>
          <w:lang w:val="en-US"/>
        </w:rPr>
      </w:pPr>
      <w:r w:rsidRPr="00CB5C95">
        <w:rPr>
          <w:rFonts w:ascii="Verdana" w:hAnsi="Verdana"/>
          <w:lang w:val="en-US"/>
        </w:rPr>
        <w:t xml:space="preserve">[17] </w:t>
      </w:r>
      <w:proofErr w:type="spellStart"/>
      <w:r w:rsidRPr="00CB5C95">
        <w:rPr>
          <w:rFonts w:ascii="Verdana" w:hAnsi="Verdana"/>
          <w:lang w:val="en-US"/>
        </w:rPr>
        <w:t>Ronneberger</w:t>
      </w:r>
      <w:proofErr w:type="spellEnd"/>
      <w:r w:rsidRPr="00CB5C95">
        <w:rPr>
          <w:rFonts w:ascii="Verdana" w:hAnsi="Verdana"/>
          <w:lang w:val="en-US"/>
        </w:rPr>
        <w:t>, O., Fischer, P. y Brox, T. (2015). “U-Net: Convolutional networks for biomedical image segmentation”. En: Medical Image Computing and Computer-Assisted Intervention – MICCAI 2015. Cham: Springer, pp. 234–241. DOI: 10.1007/978-3-319-24574-4_28.</w:t>
      </w:r>
    </w:p>
    <w:p w14:paraId="1F13776F" w14:textId="77777777" w:rsidR="00D31AE3" w:rsidRPr="00192ACB" w:rsidRDefault="00CA49ED" w:rsidP="00CA49ED">
      <w:pPr>
        <w:rPr>
          <w:rFonts w:ascii="Verdana" w:hAnsi="Verdana"/>
          <w:lang w:val="en-US"/>
        </w:rPr>
      </w:pPr>
      <w:r w:rsidRPr="00CB5C95">
        <w:rPr>
          <w:rFonts w:ascii="Verdana" w:hAnsi="Verdana"/>
          <w:lang w:val="en-US"/>
        </w:rPr>
        <w:t xml:space="preserve">[18] Van Ginneken, B., </w:t>
      </w:r>
      <w:proofErr w:type="spellStart"/>
      <w:r w:rsidRPr="00CB5C95">
        <w:rPr>
          <w:rFonts w:ascii="Verdana" w:hAnsi="Verdana"/>
          <w:lang w:val="en-US"/>
        </w:rPr>
        <w:t>Setio</w:t>
      </w:r>
      <w:proofErr w:type="spellEnd"/>
      <w:r w:rsidRPr="00CB5C95">
        <w:rPr>
          <w:rFonts w:ascii="Verdana" w:hAnsi="Verdana"/>
          <w:lang w:val="en-US"/>
        </w:rPr>
        <w:t xml:space="preserve">, A. A. A., Jacobs, C. y </w:t>
      </w:r>
      <w:proofErr w:type="spellStart"/>
      <w:r w:rsidRPr="00CB5C95">
        <w:rPr>
          <w:rFonts w:ascii="Verdana" w:hAnsi="Verdana"/>
          <w:lang w:val="en-US"/>
        </w:rPr>
        <w:t>Ciompi</w:t>
      </w:r>
      <w:proofErr w:type="spellEnd"/>
      <w:r w:rsidRPr="00CB5C95">
        <w:rPr>
          <w:rFonts w:ascii="Verdana" w:hAnsi="Verdana"/>
          <w:lang w:val="en-US"/>
        </w:rPr>
        <w:t xml:space="preserve">, F. (2015). “Off-the-shelf convolutional neural network features for pulmonary nodule detection in computed tomography scans”. En: IEEE 12th International Symposium on Biomedical Imaging. New York: IEEE, pp. 286–289. </w:t>
      </w:r>
      <w:r w:rsidRPr="00192ACB">
        <w:rPr>
          <w:rFonts w:ascii="Verdana" w:hAnsi="Verdana"/>
          <w:lang w:val="en-US"/>
        </w:rPr>
        <w:t>DOI: 10.1109/ISBI.2015.7163869.</w:t>
      </w:r>
    </w:p>
    <w:p w14:paraId="1B65AAEB" w14:textId="6E5D2AB2" w:rsidR="00191859" w:rsidRPr="00192ACB" w:rsidRDefault="00191859" w:rsidP="00CA49ED">
      <w:pPr>
        <w:rPr>
          <w:rFonts w:ascii="Verdana" w:hAnsi="Verdana"/>
          <w:lang w:val="en-US"/>
        </w:rPr>
      </w:pPr>
      <w:r w:rsidRPr="00192ACB">
        <w:rPr>
          <w:rFonts w:ascii="Verdana" w:hAnsi="Verdana"/>
          <w:lang w:val="en-US"/>
        </w:rPr>
        <w:t xml:space="preserve">[19] Mahajan, A., Agarwal, R., Agarwal, U., Ashtekar, R.M., </w:t>
      </w:r>
      <w:proofErr w:type="spellStart"/>
      <w:r w:rsidRPr="00192ACB">
        <w:rPr>
          <w:rFonts w:ascii="Verdana" w:hAnsi="Verdana"/>
          <w:lang w:val="en-US"/>
        </w:rPr>
        <w:t>Komaravolu</w:t>
      </w:r>
      <w:proofErr w:type="spellEnd"/>
      <w:r w:rsidRPr="00192ACB">
        <w:rPr>
          <w:rFonts w:ascii="Verdana" w:hAnsi="Verdana"/>
          <w:lang w:val="en-US"/>
        </w:rPr>
        <w:t xml:space="preserve">, B., Madiraju, A., Vaish, R., Pawar, V., Punia, V., Patil, V.M., Noronha, V., Joshi, A., Menon, N., </w:t>
      </w:r>
      <w:proofErr w:type="spellStart"/>
      <w:r w:rsidRPr="00192ACB">
        <w:rPr>
          <w:rFonts w:ascii="Verdana" w:hAnsi="Verdana"/>
          <w:lang w:val="en-US"/>
        </w:rPr>
        <w:t>Prabhash</w:t>
      </w:r>
      <w:proofErr w:type="spellEnd"/>
      <w:r w:rsidRPr="00192ACB">
        <w:rPr>
          <w:rFonts w:ascii="Verdana" w:hAnsi="Verdana"/>
          <w:lang w:val="en-US"/>
        </w:rPr>
        <w:t xml:space="preserve">, K., Chaturvedi, P., Rane, S., </w:t>
      </w:r>
      <w:proofErr w:type="spellStart"/>
      <w:r w:rsidRPr="00192ACB">
        <w:rPr>
          <w:rFonts w:ascii="Verdana" w:hAnsi="Verdana"/>
          <w:lang w:val="en-US"/>
        </w:rPr>
        <w:t>Banwar</w:t>
      </w:r>
      <w:proofErr w:type="spellEnd"/>
      <w:r w:rsidRPr="00192ACB">
        <w:rPr>
          <w:rFonts w:ascii="Verdana" w:hAnsi="Verdana"/>
          <w:lang w:val="en-US"/>
        </w:rPr>
        <w:t xml:space="preserve">, P., </w:t>
      </w:r>
      <w:r w:rsidR="00F32F0C" w:rsidRPr="00192ACB">
        <w:rPr>
          <w:rFonts w:ascii="Verdana" w:hAnsi="Verdana"/>
          <w:lang w:val="en-US"/>
        </w:rPr>
        <w:t xml:space="preserve">&amp; </w:t>
      </w:r>
      <w:r w:rsidRPr="00192ACB">
        <w:rPr>
          <w:rFonts w:ascii="Verdana" w:hAnsi="Verdana"/>
          <w:lang w:val="en-US"/>
        </w:rPr>
        <w:t xml:space="preserve">Gupta, S. A. (2025) Novel Deep Learning-Based (3D U-Net Model) Automated Pulmonary Nodule Detection Tool for CT Imaging. Curr Oncol. </w:t>
      </w:r>
      <w:proofErr w:type="spellStart"/>
      <w:r w:rsidRPr="00192ACB">
        <w:rPr>
          <w:rFonts w:ascii="Verdana" w:hAnsi="Verdana"/>
          <w:lang w:val="en-US"/>
        </w:rPr>
        <w:t>doi</w:t>
      </w:r>
      <w:proofErr w:type="spellEnd"/>
      <w:r w:rsidRPr="00192ACB">
        <w:rPr>
          <w:rFonts w:ascii="Verdana" w:hAnsi="Verdana"/>
          <w:lang w:val="en-US"/>
        </w:rPr>
        <w:t>: 10.3390/curroncol32020095. PMID: 39996895; PMCID: PMC11854842.</w:t>
      </w:r>
    </w:p>
    <w:p w14:paraId="72C33EF0" w14:textId="1FC93DAC" w:rsidR="00191859" w:rsidRDefault="00191859" w:rsidP="00CA49ED">
      <w:pPr>
        <w:rPr>
          <w:rFonts w:ascii="Verdana" w:hAnsi="Verdana"/>
          <w:lang w:val="en-US"/>
        </w:rPr>
      </w:pPr>
      <w:r w:rsidRPr="00192ACB">
        <w:rPr>
          <w:rFonts w:ascii="Verdana" w:hAnsi="Verdana"/>
          <w:lang w:val="en-US"/>
        </w:rPr>
        <w:t xml:space="preserve">[20] Gebremichael, D., </w:t>
      </w:r>
      <w:proofErr w:type="spellStart"/>
      <w:r w:rsidRPr="00192ACB">
        <w:rPr>
          <w:rFonts w:ascii="Verdana" w:hAnsi="Verdana"/>
          <w:lang w:val="en-US"/>
        </w:rPr>
        <w:t>Zimme</w:t>
      </w:r>
      <w:proofErr w:type="spellEnd"/>
      <w:r w:rsidRPr="00192ACB">
        <w:rPr>
          <w:rFonts w:ascii="Verdana" w:hAnsi="Verdana"/>
          <w:lang w:val="en-US"/>
        </w:rPr>
        <w:t xml:space="preserve">, Z.A., Mengesha, L.Y., </w:t>
      </w:r>
      <w:proofErr w:type="spellStart"/>
      <w:r w:rsidRPr="00192ACB">
        <w:rPr>
          <w:rFonts w:ascii="Verdana" w:hAnsi="Verdana"/>
          <w:lang w:val="en-US"/>
        </w:rPr>
        <w:t>Jibat</w:t>
      </w:r>
      <w:proofErr w:type="spellEnd"/>
      <w:r w:rsidRPr="00192ACB">
        <w:rPr>
          <w:rFonts w:ascii="Verdana" w:hAnsi="Verdana"/>
          <w:lang w:val="en-US"/>
        </w:rPr>
        <w:t xml:space="preserve">, N., Berihun, A., Ayele, A.A., Ashenafi, S.A., Tegegn, H.G., </w:t>
      </w:r>
      <w:r w:rsidR="00F32F0C" w:rsidRPr="00192ACB">
        <w:rPr>
          <w:rFonts w:ascii="Verdana" w:hAnsi="Verdana"/>
          <w:lang w:val="en-US"/>
        </w:rPr>
        <w:t xml:space="preserve">&amp; </w:t>
      </w:r>
      <w:r w:rsidRPr="00192ACB">
        <w:rPr>
          <w:rFonts w:ascii="Verdana" w:hAnsi="Verdana"/>
          <w:lang w:val="en-US"/>
        </w:rPr>
        <w:t xml:space="preserve">Gete, K.Y. (2026). </w:t>
      </w:r>
      <w:r w:rsidRPr="00191859">
        <w:rPr>
          <w:rFonts w:ascii="Verdana" w:hAnsi="Verdana"/>
          <w:lang w:val="en-US"/>
        </w:rPr>
        <w:t xml:space="preserve">Diagnostic accuracy of deep learning-assisted low-dose CT screening for lung cancer detection: a systematic review and meta-analysis. </w:t>
      </w:r>
      <w:proofErr w:type="spellStart"/>
      <w:r w:rsidRPr="00191859">
        <w:rPr>
          <w:rFonts w:ascii="Verdana" w:hAnsi="Verdana"/>
          <w:lang w:val="en-US"/>
        </w:rPr>
        <w:t>Diagn</w:t>
      </w:r>
      <w:proofErr w:type="spellEnd"/>
      <w:r w:rsidRPr="00191859">
        <w:rPr>
          <w:rFonts w:ascii="Verdana" w:hAnsi="Verdana"/>
          <w:lang w:val="en-US"/>
        </w:rPr>
        <w:t xml:space="preserve"> </w:t>
      </w:r>
      <w:proofErr w:type="spellStart"/>
      <w:r w:rsidRPr="00191859">
        <w:rPr>
          <w:rFonts w:ascii="Verdana" w:hAnsi="Verdana"/>
          <w:lang w:val="en-US"/>
        </w:rPr>
        <w:t>Progn</w:t>
      </w:r>
      <w:proofErr w:type="spellEnd"/>
      <w:r w:rsidRPr="00191859">
        <w:rPr>
          <w:rFonts w:ascii="Verdana" w:hAnsi="Verdana"/>
          <w:lang w:val="en-US"/>
        </w:rPr>
        <w:t xml:space="preserve"> Res</w:t>
      </w:r>
      <w:r>
        <w:rPr>
          <w:rFonts w:ascii="Verdana" w:hAnsi="Verdana"/>
          <w:lang w:val="en-US"/>
        </w:rPr>
        <w:t xml:space="preserve">. </w:t>
      </w:r>
      <w:proofErr w:type="spellStart"/>
      <w:r w:rsidRPr="00191859">
        <w:rPr>
          <w:rFonts w:ascii="Verdana" w:hAnsi="Verdana"/>
          <w:lang w:val="en-US"/>
        </w:rPr>
        <w:t>doi</w:t>
      </w:r>
      <w:proofErr w:type="spellEnd"/>
      <w:r w:rsidRPr="00191859">
        <w:rPr>
          <w:rFonts w:ascii="Verdana" w:hAnsi="Verdana"/>
          <w:lang w:val="en-US"/>
        </w:rPr>
        <w:t>: 10.1186/s41512-026-00235-w. PMID: 42576231; PMCID: PMC13455218.</w:t>
      </w:r>
    </w:p>
    <w:p w14:paraId="48D99F56" w14:textId="5942A94D" w:rsidR="00D31AE3" w:rsidRPr="00191859" w:rsidRDefault="00191859" w:rsidP="00AE5D6C">
      <w:pPr>
        <w:rPr>
          <w:rFonts w:ascii="Verdana" w:hAnsi="Verdana"/>
          <w:sz w:val="24"/>
          <w:szCs w:val="24"/>
          <w:lang w:val="en-US"/>
        </w:rPr>
      </w:pPr>
      <w:r>
        <w:rPr>
          <w:rFonts w:ascii="Verdana" w:hAnsi="Verdana"/>
          <w:lang w:val="en-US"/>
        </w:rPr>
        <w:t xml:space="preserve">[21] </w:t>
      </w:r>
      <w:r w:rsidRPr="00191859">
        <w:rPr>
          <w:rFonts w:ascii="Verdana" w:hAnsi="Verdana"/>
          <w:lang w:val="en-US"/>
        </w:rPr>
        <w:t>Yu</w:t>
      </w:r>
      <w:r>
        <w:rPr>
          <w:rFonts w:ascii="Verdana" w:hAnsi="Verdana"/>
          <w:lang w:val="en-US"/>
        </w:rPr>
        <w:t xml:space="preserve">, J., </w:t>
      </w:r>
      <w:r w:rsidRPr="00191859">
        <w:rPr>
          <w:rFonts w:ascii="Verdana" w:hAnsi="Verdana"/>
          <w:lang w:val="en-US"/>
        </w:rPr>
        <w:t>Wang</w:t>
      </w:r>
      <w:r>
        <w:rPr>
          <w:rFonts w:ascii="Verdana" w:hAnsi="Verdana"/>
          <w:lang w:val="en-US"/>
        </w:rPr>
        <w:t>, H.,</w:t>
      </w:r>
      <w:r w:rsidRPr="00191859">
        <w:rPr>
          <w:rFonts w:ascii="Verdana" w:hAnsi="Verdana"/>
          <w:lang w:val="en-US"/>
        </w:rPr>
        <w:t xml:space="preserve"> Wen</w:t>
      </w:r>
      <w:r>
        <w:rPr>
          <w:rFonts w:ascii="Verdana" w:hAnsi="Verdana"/>
          <w:lang w:val="en-US"/>
        </w:rPr>
        <w:t xml:space="preserve">, Y., </w:t>
      </w:r>
      <w:r w:rsidRPr="00191859">
        <w:rPr>
          <w:rFonts w:ascii="Verdana" w:hAnsi="Verdana"/>
          <w:lang w:val="en-US"/>
        </w:rPr>
        <w:t>Chen</w:t>
      </w:r>
      <w:r>
        <w:rPr>
          <w:rFonts w:ascii="Verdana" w:hAnsi="Verdana"/>
          <w:lang w:val="en-US"/>
        </w:rPr>
        <w:t>, S.,</w:t>
      </w:r>
      <w:r w:rsidRPr="00191859">
        <w:rPr>
          <w:rFonts w:ascii="Verdana" w:hAnsi="Verdana"/>
          <w:lang w:val="en-US"/>
        </w:rPr>
        <w:t xml:space="preserve"> An</w:t>
      </w:r>
      <w:r>
        <w:rPr>
          <w:rFonts w:ascii="Verdana" w:hAnsi="Verdana"/>
          <w:lang w:val="en-US"/>
        </w:rPr>
        <w:t xml:space="preserve">, Y., </w:t>
      </w:r>
      <w:r w:rsidRPr="00191859">
        <w:rPr>
          <w:rFonts w:ascii="Verdana" w:hAnsi="Verdana"/>
          <w:lang w:val="en-US"/>
        </w:rPr>
        <w:t>Lu</w:t>
      </w:r>
      <w:r>
        <w:rPr>
          <w:rFonts w:ascii="Verdana" w:hAnsi="Verdana"/>
          <w:lang w:val="en-US"/>
        </w:rPr>
        <w:t>, X.,</w:t>
      </w:r>
      <w:r w:rsidRPr="00191859">
        <w:rPr>
          <w:rFonts w:ascii="Verdana" w:hAnsi="Verdana"/>
          <w:lang w:val="en-US"/>
        </w:rPr>
        <w:t xml:space="preserve"> </w:t>
      </w:r>
      <w:r w:rsidR="00F32F0C">
        <w:rPr>
          <w:rFonts w:ascii="Verdana" w:hAnsi="Verdana"/>
          <w:lang w:val="en-US"/>
        </w:rPr>
        <w:t xml:space="preserve">&amp; </w:t>
      </w:r>
      <w:r w:rsidRPr="00191859">
        <w:rPr>
          <w:rFonts w:ascii="Verdana" w:hAnsi="Verdana"/>
          <w:lang w:val="en-US"/>
        </w:rPr>
        <w:t>He</w:t>
      </w:r>
      <w:r>
        <w:rPr>
          <w:rFonts w:ascii="Verdana" w:hAnsi="Verdana"/>
          <w:lang w:val="en-US"/>
        </w:rPr>
        <w:t xml:space="preserve">, X. </w:t>
      </w:r>
      <w:r w:rsidR="00F32F0C">
        <w:rPr>
          <w:rFonts w:ascii="Verdana" w:hAnsi="Verdana"/>
          <w:lang w:val="en-US"/>
        </w:rPr>
        <w:t xml:space="preserve">(2026). </w:t>
      </w:r>
      <w:r w:rsidR="00F32F0C" w:rsidRPr="00F32F0C">
        <w:rPr>
          <w:rFonts w:ascii="Verdana" w:hAnsi="Verdana"/>
          <w:lang w:val="en-US"/>
        </w:rPr>
        <w:t>3D-DCASphereNet: 3D dynamic convolutional attention network with spherical representation for high heterogeneity in lung nodule detection</w:t>
      </w:r>
      <w:r w:rsidR="00F32F0C">
        <w:rPr>
          <w:rFonts w:ascii="Verdana" w:hAnsi="Verdana"/>
          <w:lang w:val="en-US"/>
        </w:rPr>
        <w:t xml:space="preserve">. </w:t>
      </w:r>
      <w:r w:rsidR="00F32F0C" w:rsidRPr="00F32F0C">
        <w:rPr>
          <w:rFonts w:ascii="Verdana" w:hAnsi="Verdana"/>
          <w:lang w:val="en-US"/>
        </w:rPr>
        <w:t>Expert Systems with Applications</w:t>
      </w:r>
      <w:r w:rsidR="00F32F0C">
        <w:rPr>
          <w:rFonts w:ascii="Verdana" w:hAnsi="Verdana"/>
          <w:lang w:val="en-US"/>
        </w:rPr>
        <w:t xml:space="preserve">, vol. 311, pages 131275. </w:t>
      </w:r>
      <w:r w:rsidR="00F32F0C" w:rsidRPr="00F32F0C">
        <w:rPr>
          <w:rFonts w:ascii="Verdana" w:hAnsi="Verdana"/>
          <w:lang w:val="en-US"/>
        </w:rPr>
        <w:t>https://doi.org/10.1016/j.eswa.2026.131375</w:t>
      </w:r>
    </w:p>
    <w:p w14:paraId="5FC2810E" w14:textId="77777777" w:rsidR="00D31AE3" w:rsidRPr="00191859" w:rsidRDefault="00D31AE3" w:rsidP="00AE5D6C">
      <w:pPr>
        <w:rPr>
          <w:rFonts w:ascii="Verdana" w:hAnsi="Verdana"/>
          <w:sz w:val="24"/>
          <w:szCs w:val="24"/>
          <w:lang w:val="en-US"/>
        </w:rPr>
      </w:pPr>
    </w:p>
    <w:sectPr w:rsidR="00D31AE3" w:rsidRPr="00191859">
      <w:headerReference w:type="default" r:id="rId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FDA0E" w14:textId="77777777" w:rsidR="00547671" w:rsidRDefault="00547671" w:rsidP="007A61C1">
      <w:pPr>
        <w:spacing w:after="0" w:line="240" w:lineRule="auto"/>
      </w:pPr>
      <w:r>
        <w:separator/>
      </w:r>
    </w:p>
  </w:endnote>
  <w:endnote w:type="continuationSeparator" w:id="0">
    <w:p w14:paraId="60F51E04" w14:textId="77777777" w:rsidR="00547671" w:rsidRDefault="00547671" w:rsidP="007A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F8C31" w14:textId="77777777" w:rsidR="00547671" w:rsidRDefault="00547671" w:rsidP="007A61C1">
      <w:pPr>
        <w:spacing w:after="0" w:line="240" w:lineRule="auto"/>
      </w:pPr>
      <w:r>
        <w:separator/>
      </w:r>
    </w:p>
  </w:footnote>
  <w:footnote w:type="continuationSeparator" w:id="0">
    <w:p w14:paraId="53954ABD" w14:textId="77777777" w:rsidR="00547671" w:rsidRDefault="00547671" w:rsidP="007A6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2ED8" w14:textId="77777777" w:rsidR="007A61C1" w:rsidRPr="00AE5D6C" w:rsidRDefault="003C438F" w:rsidP="00AE5D6C">
    <w:pPr>
      <w:pStyle w:val="Encabezado"/>
      <w:jc w:val="right"/>
      <w:rPr>
        <w:b/>
        <w:i/>
        <w:color w:val="00B0F0"/>
        <w:lang w:val="es-ES"/>
      </w:rPr>
    </w:pPr>
    <w:r>
      <w:rPr>
        <w:noProof/>
      </w:rPr>
      <w:drawing>
        <wp:inline distT="0" distB="0" distL="0" distR="0" wp14:anchorId="07E06B7A" wp14:editId="2DFFD188">
          <wp:extent cx="1152525" cy="362919"/>
          <wp:effectExtent l="0" t="0" r="0" b="0"/>
          <wp:docPr id="1175810003"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977" cy="367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7C8"/>
    <w:multiLevelType w:val="multilevel"/>
    <w:tmpl w:val="820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20479"/>
    <w:multiLevelType w:val="multilevel"/>
    <w:tmpl w:val="AD2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A5659"/>
    <w:multiLevelType w:val="hybridMultilevel"/>
    <w:tmpl w:val="96BC359C"/>
    <w:lvl w:ilvl="0" w:tplc="3F3651E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B047257"/>
    <w:multiLevelType w:val="multilevel"/>
    <w:tmpl w:val="7B74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264A5B"/>
    <w:multiLevelType w:val="multilevel"/>
    <w:tmpl w:val="93C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251F1"/>
    <w:multiLevelType w:val="multilevel"/>
    <w:tmpl w:val="B96C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27129E"/>
    <w:multiLevelType w:val="multilevel"/>
    <w:tmpl w:val="D482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243352">
    <w:abstractNumId w:val="0"/>
  </w:num>
  <w:num w:numId="2" w16cid:durableId="1595551521">
    <w:abstractNumId w:val="6"/>
  </w:num>
  <w:num w:numId="3" w16cid:durableId="2058696775">
    <w:abstractNumId w:val="5"/>
  </w:num>
  <w:num w:numId="4" w16cid:durableId="1645040989">
    <w:abstractNumId w:val="4"/>
  </w:num>
  <w:num w:numId="5" w16cid:durableId="2063406518">
    <w:abstractNumId w:val="3"/>
  </w:num>
  <w:num w:numId="6" w16cid:durableId="1871794715">
    <w:abstractNumId w:val="1"/>
  </w:num>
  <w:num w:numId="7" w16cid:durableId="1271401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C1"/>
    <w:rsid w:val="000265D3"/>
    <w:rsid w:val="00034B75"/>
    <w:rsid w:val="00044728"/>
    <w:rsid w:val="00093498"/>
    <w:rsid w:val="000F5C3A"/>
    <w:rsid w:val="000F656C"/>
    <w:rsid w:val="001045AF"/>
    <w:rsid w:val="00121870"/>
    <w:rsid w:val="001347FA"/>
    <w:rsid w:val="00154EF7"/>
    <w:rsid w:val="001577DE"/>
    <w:rsid w:val="00191859"/>
    <w:rsid w:val="00192ACB"/>
    <w:rsid w:val="001E3208"/>
    <w:rsid w:val="002019EB"/>
    <w:rsid w:val="002049A7"/>
    <w:rsid w:val="002131AA"/>
    <w:rsid w:val="00287BA3"/>
    <w:rsid w:val="002A0B54"/>
    <w:rsid w:val="002A2D80"/>
    <w:rsid w:val="002F225B"/>
    <w:rsid w:val="002F50D4"/>
    <w:rsid w:val="00302168"/>
    <w:rsid w:val="00305444"/>
    <w:rsid w:val="00366BEA"/>
    <w:rsid w:val="00381B82"/>
    <w:rsid w:val="003B1235"/>
    <w:rsid w:val="003C438F"/>
    <w:rsid w:val="004151AF"/>
    <w:rsid w:val="00457B68"/>
    <w:rsid w:val="0047017C"/>
    <w:rsid w:val="00491767"/>
    <w:rsid w:val="0049377D"/>
    <w:rsid w:val="00524E87"/>
    <w:rsid w:val="00547671"/>
    <w:rsid w:val="0057333F"/>
    <w:rsid w:val="005A042E"/>
    <w:rsid w:val="005A5F86"/>
    <w:rsid w:val="0063605F"/>
    <w:rsid w:val="006B7235"/>
    <w:rsid w:val="00703D4B"/>
    <w:rsid w:val="00721F7D"/>
    <w:rsid w:val="00746DDF"/>
    <w:rsid w:val="00747E01"/>
    <w:rsid w:val="00783327"/>
    <w:rsid w:val="007A61C1"/>
    <w:rsid w:val="007B19F2"/>
    <w:rsid w:val="007B28E5"/>
    <w:rsid w:val="00800C23"/>
    <w:rsid w:val="00802029"/>
    <w:rsid w:val="0082123C"/>
    <w:rsid w:val="00834E74"/>
    <w:rsid w:val="008719F5"/>
    <w:rsid w:val="00872B39"/>
    <w:rsid w:val="008A6296"/>
    <w:rsid w:val="008B6494"/>
    <w:rsid w:val="008F1196"/>
    <w:rsid w:val="009440C9"/>
    <w:rsid w:val="00961B6A"/>
    <w:rsid w:val="00987898"/>
    <w:rsid w:val="00A54237"/>
    <w:rsid w:val="00A929F1"/>
    <w:rsid w:val="00AA7898"/>
    <w:rsid w:val="00AE5D6C"/>
    <w:rsid w:val="00AF429F"/>
    <w:rsid w:val="00B33AB5"/>
    <w:rsid w:val="00B40E2C"/>
    <w:rsid w:val="00B45DCF"/>
    <w:rsid w:val="00B5129B"/>
    <w:rsid w:val="00B53912"/>
    <w:rsid w:val="00B56654"/>
    <w:rsid w:val="00BF39FA"/>
    <w:rsid w:val="00C474C2"/>
    <w:rsid w:val="00C903FF"/>
    <w:rsid w:val="00CA49ED"/>
    <w:rsid w:val="00CB5C95"/>
    <w:rsid w:val="00CC5F75"/>
    <w:rsid w:val="00CD0202"/>
    <w:rsid w:val="00CF4105"/>
    <w:rsid w:val="00D25926"/>
    <w:rsid w:val="00D31AE3"/>
    <w:rsid w:val="00D54995"/>
    <w:rsid w:val="00D61661"/>
    <w:rsid w:val="00D77D96"/>
    <w:rsid w:val="00D86C45"/>
    <w:rsid w:val="00D87D01"/>
    <w:rsid w:val="00DC27A6"/>
    <w:rsid w:val="00DD0170"/>
    <w:rsid w:val="00DE2F4B"/>
    <w:rsid w:val="00E67112"/>
    <w:rsid w:val="00E71CFF"/>
    <w:rsid w:val="00E819CA"/>
    <w:rsid w:val="00E90551"/>
    <w:rsid w:val="00E9624B"/>
    <w:rsid w:val="00E965E5"/>
    <w:rsid w:val="00EA2284"/>
    <w:rsid w:val="00EE2A13"/>
    <w:rsid w:val="00EE2B42"/>
    <w:rsid w:val="00F07561"/>
    <w:rsid w:val="00F20934"/>
    <w:rsid w:val="00F23C5F"/>
    <w:rsid w:val="00F31D98"/>
    <w:rsid w:val="00F3263F"/>
    <w:rsid w:val="00F32F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C7E4C"/>
  <w15:chartTrackingRefBased/>
  <w15:docId w15:val="{9AD1B82A-B932-4317-A7B7-E5BA0FE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61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61C1"/>
  </w:style>
  <w:style w:type="paragraph" w:styleId="Piedepgina">
    <w:name w:val="footer"/>
    <w:basedOn w:val="Normal"/>
    <w:link w:val="PiedepginaCar"/>
    <w:uiPriority w:val="99"/>
    <w:unhideWhenUsed/>
    <w:rsid w:val="007A61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61C1"/>
  </w:style>
  <w:style w:type="paragraph" w:styleId="HTMLconformatoprevio">
    <w:name w:val="HTML Preformatted"/>
    <w:basedOn w:val="Normal"/>
    <w:link w:val="HTMLconformatoprevioCar"/>
    <w:uiPriority w:val="99"/>
    <w:semiHidden/>
    <w:unhideWhenUsed/>
    <w:rsid w:val="007A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semiHidden/>
    <w:rsid w:val="007A61C1"/>
    <w:rPr>
      <w:rFonts w:ascii="Courier New" w:eastAsia="Times New Roman" w:hAnsi="Courier New" w:cs="Courier New"/>
      <w:sz w:val="20"/>
      <w:szCs w:val="20"/>
      <w:lang w:eastAsia="es-CO"/>
    </w:rPr>
  </w:style>
  <w:style w:type="paragraph" w:styleId="Prrafodelista">
    <w:name w:val="List Paragraph"/>
    <w:basedOn w:val="Normal"/>
    <w:uiPriority w:val="34"/>
    <w:qFormat/>
    <w:rsid w:val="00B33AB5"/>
    <w:pPr>
      <w:ind w:left="720"/>
      <w:contextualSpacing/>
    </w:pPr>
  </w:style>
  <w:style w:type="character" w:styleId="Hipervnculo">
    <w:name w:val="Hyperlink"/>
    <w:basedOn w:val="Fuentedeprrafopredeter"/>
    <w:uiPriority w:val="99"/>
    <w:unhideWhenUsed/>
    <w:rsid w:val="002A2D80"/>
    <w:rPr>
      <w:color w:val="0563C1" w:themeColor="hyperlink"/>
      <w:u w:val="single"/>
    </w:rPr>
  </w:style>
  <w:style w:type="character" w:styleId="Mencinsinresolver">
    <w:name w:val="Unresolved Mention"/>
    <w:basedOn w:val="Fuentedeprrafopredeter"/>
    <w:uiPriority w:val="99"/>
    <w:semiHidden/>
    <w:unhideWhenUsed/>
    <w:rsid w:val="002A2D80"/>
    <w:rPr>
      <w:color w:val="605E5C"/>
      <w:shd w:val="clear" w:color="auto" w:fill="E1DFDD"/>
    </w:rPr>
  </w:style>
  <w:style w:type="character" w:styleId="Textodelmarcadordeposicin">
    <w:name w:val="Placeholder Text"/>
    <w:basedOn w:val="Fuentedeprrafopredeter"/>
    <w:uiPriority w:val="99"/>
    <w:semiHidden/>
    <w:rsid w:val="00F20934"/>
    <w:rPr>
      <w:color w:val="666666"/>
    </w:rPr>
  </w:style>
  <w:style w:type="character" w:styleId="Hipervnculovisitado">
    <w:name w:val="FollowedHyperlink"/>
    <w:basedOn w:val="Fuentedeprrafopredeter"/>
    <w:uiPriority w:val="99"/>
    <w:semiHidden/>
    <w:unhideWhenUsed/>
    <w:rsid w:val="00AA78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812988">
      <w:bodyDiv w:val="1"/>
      <w:marLeft w:val="0"/>
      <w:marRight w:val="0"/>
      <w:marTop w:val="0"/>
      <w:marBottom w:val="0"/>
      <w:divBdr>
        <w:top w:val="none" w:sz="0" w:space="0" w:color="auto"/>
        <w:left w:val="none" w:sz="0" w:space="0" w:color="auto"/>
        <w:bottom w:val="none" w:sz="0" w:space="0" w:color="auto"/>
        <w:right w:val="none" w:sz="0" w:space="0" w:color="auto"/>
      </w:divBdr>
    </w:div>
    <w:div w:id="142464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7546-4131" TargetMode="External"/><Relationship Id="rId13" Type="http://schemas.openxmlformats.org/officeDocument/2006/relationships/hyperlink" Target="mailto:oscargelvez@usta.edu.co" TargetMode="External"/><Relationship Id="rId18" Type="http://schemas.openxmlformats.org/officeDocument/2006/relationships/hyperlink" Target="https://github.com/GabrielJaimeDuarte/Programa-Inform-tico-Apoyo-Diagnostico-C-ncer-de-Pulm-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rcid.org/0000-0001-6858-5293" TargetMode="External"/><Relationship Id="rId17" Type="http://schemas.openxmlformats.org/officeDocument/2006/relationships/hyperlink" Target="https://github.com/GabrielJaimeDuarte/Programa-Inform-tico-Apoyo-Diagnostico-C-ncer-de-Pulm-n"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ilocifuentesg@usantotomas.edu.co" TargetMode="External"/><Relationship Id="rId5" Type="http://schemas.openxmlformats.org/officeDocument/2006/relationships/webSettings" Target="webSettings.xml"/><Relationship Id="rId15" Type="http://schemas.openxmlformats.org/officeDocument/2006/relationships/hyperlink" Target="mailto:john.celyalv@usta.edu.co" TargetMode="External"/><Relationship Id="rId10" Type="http://schemas.openxmlformats.org/officeDocument/2006/relationships/hyperlink" Target="https://orcid.org/0009-0001-0974-166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brielduarte@usantotomas.edu.co" TargetMode="External"/><Relationship Id="rId14" Type="http://schemas.openxmlformats.org/officeDocument/2006/relationships/hyperlink" Target="https://orcid.org/0000-0003-0371-264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9A9F4-584F-4AC7-979D-3C69F8C6F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14</Pages>
  <Words>5464</Words>
  <Characters>30055</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gomez orduz</dc:creator>
  <cp:keywords/>
  <dc:description/>
  <cp:lastModifiedBy>Amaimen Amador Guillen Pacheco</cp:lastModifiedBy>
  <cp:revision>49</cp:revision>
  <cp:lastPrinted>2026-06-04T21:06:00Z</cp:lastPrinted>
  <dcterms:created xsi:type="dcterms:W3CDTF">2026-03-06T00:04:00Z</dcterms:created>
  <dcterms:modified xsi:type="dcterms:W3CDTF">2026-09-29T19:45:00Z</dcterms:modified>
</cp:coreProperties>
</file>