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A96ED" w14:textId="77777777" w:rsidR="00156C62" w:rsidRPr="00345A54" w:rsidRDefault="007E67A8">
      <w:pPr>
        <w:spacing w:line="480" w:lineRule="auto"/>
        <w:jc w:val="center"/>
        <w:rPr>
          <w:rFonts w:ascii="Arial" w:hAnsi="Arial" w:cs="Arial"/>
          <w:sz w:val="32"/>
          <w:szCs w:val="32"/>
        </w:rPr>
      </w:pPr>
      <w:r w:rsidRPr="00345A54">
        <w:rPr>
          <w:rFonts w:ascii="Arial" w:hAnsi="Arial" w:cs="Arial"/>
          <w:b/>
          <w:bCs/>
          <w:sz w:val="32"/>
          <w:szCs w:val="32"/>
        </w:rPr>
        <w:t>Análisis comparativo de vulnerabilidades en gestores editoriales de código abierto: OJS y DSpace bajo evaluación adversarial</w:t>
      </w:r>
    </w:p>
    <w:p w14:paraId="5B6A96EE" w14:textId="77777777" w:rsidR="00156C62" w:rsidRPr="00345A54" w:rsidRDefault="00156C62">
      <w:pPr>
        <w:rPr>
          <w:rFonts w:ascii="Arial" w:hAnsi="Arial" w:cs="Arial"/>
        </w:rPr>
      </w:pPr>
    </w:p>
    <w:p w14:paraId="5B6A96EF" w14:textId="77777777" w:rsidR="00156C62" w:rsidRPr="00345A54" w:rsidRDefault="007E67A8">
      <w:pPr>
        <w:spacing w:line="480" w:lineRule="auto"/>
        <w:jc w:val="center"/>
        <w:rPr>
          <w:rFonts w:ascii="Arial" w:hAnsi="Arial" w:cs="Arial"/>
          <w:lang w:val="en-US"/>
        </w:rPr>
      </w:pPr>
      <w:r w:rsidRPr="00345A54">
        <w:rPr>
          <w:rFonts w:ascii="Arial" w:hAnsi="Arial" w:cs="Arial"/>
          <w:lang w:val="en-US"/>
        </w:rPr>
        <w:t>Comparative Vulnerability Analysis of Open-Source Editorial Management Systems: OJS and DSpace Under Adversarial Evaluation</w:t>
      </w:r>
    </w:p>
    <w:p w14:paraId="5B6A96F0" w14:textId="77777777" w:rsidR="00156C62" w:rsidRPr="00345A54" w:rsidRDefault="00156C62">
      <w:pPr>
        <w:rPr>
          <w:rFonts w:ascii="Arial" w:hAnsi="Arial" w:cs="Arial"/>
          <w:lang w:val="en-US"/>
        </w:rPr>
      </w:pPr>
    </w:p>
    <w:p w14:paraId="5B6A96F1" w14:textId="77777777" w:rsidR="00156C62" w:rsidRPr="00345A54" w:rsidRDefault="00156C62">
      <w:pPr>
        <w:rPr>
          <w:rFonts w:ascii="Arial" w:hAnsi="Arial" w:cs="Arial"/>
          <w:lang w:val="en-US"/>
        </w:rPr>
      </w:pPr>
    </w:p>
    <w:p w14:paraId="5B6A96FA" w14:textId="30FC1918" w:rsidR="00156C62" w:rsidRPr="00345A54" w:rsidRDefault="007E67A8" w:rsidP="00DE14AB">
      <w:pPr>
        <w:spacing w:line="480" w:lineRule="auto"/>
        <w:jc w:val="center"/>
        <w:rPr>
          <w:rFonts w:ascii="Arial" w:hAnsi="Arial" w:cs="Arial"/>
        </w:rPr>
      </w:pPr>
      <w:r w:rsidRPr="00345A54">
        <w:rPr>
          <w:rFonts w:ascii="Arial" w:hAnsi="Arial" w:cs="Arial"/>
          <w:b/>
          <w:bCs/>
        </w:rPr>
        <w:t>Jorge Eliecer Hernández Pérez</w:t>
      </w:r>
      <w:r w:rsidR="00F9431B" w:rsidRPr="00345A54">
        <w:rPr>
          <w:rStyle w:val="Refdenotaalpie"/>
          <w:rFonts w:ascii="Arial" w:hAnsi="Arial" w:cs="Arial"/>
          <w:b/>
          <w:bCs/>
        </w:rPr>
        <w:footnoteReference w:id="1"/>
      </w:r>
      <w:r w:rsidR="00DE14AB" w:rsidRPr="00345A54">
        <w:rPr>
          <w:rFonts w:ascii="Arial" w:hAnsi="Arial" w:cs="Arial"/>
          <w:b/>
          <w:bCs/>
        </w:rPr>
        <w:br/>
      </w:r>
      <w:r w:rsidRPr="00345A54">
        <w:rPr>
          <w:rFonts w:ascii="Arial" w:hAnsi="Arial" w:cs="Arial"/>
        </w:rPr>
        <w:t>Universidad Nacional Abierta y a Distancia</w:t>
      </w:r>
      <w:r w:rsidR="00CD62E9" w:rsidRPr="00345A54">
        <w:rPr>
          <w:rFonts w:ascii="Arial" w:hAnsi="Arial" w:cs="Arial"/>
        </w:rPr>
        <w:t>, Colombia</w:t>
      </w:r>
    </w:p>
    <w:p w14:paraId="5B6A96FB" w14:textId="77777777" w:rsidR="00156C62" w:rsidRPr="00345A54" w:rsidRDefault="007E67A8" w:rsidP="00456163">
      <w:pPr>
        <w:pStyle w:val="Ttulo1"/>
        <w:rPr>
          <w:rFonts w:ascii="Arial" w:hAnsi="Arial" w:cs="Arial"/>
        </w:rPr>
      </w:pPr>
      <w:r w:rsidRPr="00345A54">
        <w:rPr>
          <w:rFonts w:ascii="Arial" w:hAnsi="Arial" w:cs="Arial"/>
        </w:rPr>
        <w:t>Resumen</w:t>
      </w:r>
    </w:p>
    <w:p w14:paraId="5B6A96FC" w14:textId="77777777" w:rsidR="00156C62" w:rsidRPr="00345A54" w:rsidRDefault="00156C62">
      <w:pPr>
        <w:rPr>
          <w:rFonts w:ascii="Arial" w:hAnsi="Arial" w:cs="Arial"/>
        </w:rPr>
      </w:pPr>
    </w:p>
    <w:p w14:paraId="5B6A96FE" w14:textId="73997694" w:rsidR="00156C62" w:rsidRPr="00345A54" w:rsidRDefault="00C92E1C" w:rsidP="00977C00">
      <w:pPr>
        <w:spacing w:line="480" w:lineRule="auto"/>
        <w:rPr>
          <w:rFonts w:ascii="Arial" w:hAnsi="Arial" w:cs="Arial"/>
        </w:rPr>
      </w:pPr>
      <w:r w:rsidRPr="00345A54">
        <w:rPr>
          <w:rFonts w:ascii="Arial" w:hAnsi="Arial" w:cs="Arial"/>
        </w:rPr>
        <w:t>Open Journal Systems (OJS) y DSpace sostienen buena parte de la publicación y preservación científica en América Latina, pero la seguridad de estas plataformas ha recibido escasa atención empírica. Este trabajo presenta un estudio comparativo de vulnerabilidades en OJS 3.3.0.21 y DSpace 7.6.7-SNAPSHOT, combinando la revisión sistemática de la National Vulnerability Database con pruebas de penetración ética en un entorno de laboratorio controlado. La revisión documental identificó siete CVE pertinentes, mayormente de tipo Cross-Site Scripting y Cross-Site Request Forgery en OJS. La evaluación se estructuró en cuatro fases: reconocimiento pasivo, escaneo automatizado con OWASP ZAP, verificación manual con Burp Suite y análisis comparativo. El hallazgo central es una vulnerabilidad CSRF confirmada en OJS (CVE-</w:t>
      </w:r>
      <w:r w:rsidRPr="00345A54">
        <w:rPr>
          <w:rFonts w:ascii="Arial" w:hAnsi="Arial" w:cs="Arial"/>
        </w:rPr>
        <w:lastRenderedPageBreak/>
        <w:t>2023-6671): sometido a tres condiciones token válido, ausente e inválido, el servidor ejecutó la acción en las tres sin validar el token de sincronización. En contraste, DSpace validó estrictamente su token de doble envío y rechazó las peticiones sin token válido. La verificación manual descartó, además, tres falsos positivos que el escaneo automatizado había marcado como hallazgos de severidad media o alta, incluida una alerta de inyección SQL sobre un buscador que opera con Apache Solr. El estudio demuestra que el escaneo automatizado, sin verificación manual, produce perfiles de riesgo engañosos, y que la exposición de ambas plataformas depende tanto del software como de las decisiones de configuración del despliegue.</w:t>
      </w:r>
    </w:p>
    <w:p w14:paraId="5B6A96FF" w14:textId="77777777" w:rsidR="00156C62" w:rsidRPr="00345A54" w:rsidRDefault="007E67A8">
      <w:pPr>
        <w:spacing w:line="480" w:lineRule="auto"/>
        <w:ind w:firstLine="720"/>
        <w:jc w:val="both"/>
        <w:rPr>
          <w:rFonts w:ascii="Arial" w:hAnsi="Arial" w:cs="Arial"/>
        </w:rPr>
      </w:pPr>
      <w:r w:rsidRPr="00345A54">
        <w:rPr>
          <w:rFonts w:ascii="Arial" w:hAnsi="Arial" w:cs="Arial"/>
          <w:b/>
          <w:bCs/>
        </w:rPr>
        <w:t xml:space="preserve">Palabras clave: </w:t>
      </w:r>
      <w:r w:rsidRPr="00345A54">
        <w:rPr>
          <w:rFonts w:ascii="Arial" w:hAnsi="Arial" w:cs="Arial"/>
        </w:rPr>
        <w:t>ciberseguridad, pruebas de penetración ética, Open Journal Systems, DSpace, CSRF, análisis de vulnerabilidades, pensamiento adversarial, seguridad editorial académica.</w:t>
      </w:r>
    </w:p>
    <w:p w14:paraId="5B6A9700" w14:textId="77777777" w:rsidR="00156C62" w:rsidRPr="00345A54" w:rsidRDefault="00156C62">
      <w:pPr>
        <w:rPr>
          <w:rFonts w:ascii="Arial" w:hAnsi="Arial" w:cs="Arial"/>
        </w:rPr>
      </w:pPr>
    </w:p>
    <w:p w14:paraId="5B6A9701" w14:textId="77777777" w:rsidR="00156C62" w:rsidRPr="00345A54" w:rsidRDefault="007E67A8" w:rsidP="00456163">
      <w:pPr>
        <w:pStyle w:val="Ttulo1"/>
        <w:rPr>
          <w:rFonts w:ascii="Arial" w:hAnsi="Arial" w:cs="Arial"/>
          <w:lang w:val="en-US"/>
        </w:rPr>
      </w:pPr>
      <w:r w:rsidRPr="00345A54">
        <w:rPr>
          <w:rFonts w:ascii="Arial" w:hAnsi="Arial" w:cs="Arial"/>
          <w:lang w:val="en-US"/>
        </w:rPr>
        <w:t>Abstract</w:t>
      </w:r>
    </w:p>
    <w:p w14:paraId="5B6A9702" w14:textId="77777777" w:rsidR="00156C62" w:rsidRPr="00345A54" w:rsidRDefault="00156C62">
      <w:pPr>
        <w:rPr>
          <w:rFonts w:ascii="Arial" w:hAnsi="Arial" w:cs="Arial"/>
          <w:lang w:val="en-US"/>
        </w:rPr>
      </w:pPr>
    </w:p>
    <w:p w14:paraId="5B6A9704" w14:textId="282175C6" w:rsidR="00156C62" w:rsidRPr="00345A54" w:rsidRDefault="002D11A2" w:rsidP="00BF2846">
      <w:pPr>
        <w:spacing w:line="480" w:lineRule="auto"/>
        <w:ind w:firstLine="720"/>
        <w:jc w:val="both"/>
        <w:rPr>
          <w:rFonts w:ascii="Arial" w:hAnsi="Arial" w:cs="Arial"/>
          <w:lang w:val="en-US"/>
        </w:rPr>
      </w:pPr>
      <w:r w:rsidRPr="00345A54">
        <w:rPr>
          <w:rFonts w:ascii="Arial" w:hAnsi="Arial" w:cs="Arial"/>
          <w:lang w:val="en-US"/>
        </w:rPr>
        <w:t xml:space="preserve">Open Journal Systems (OJS) and DSpace underpin much of the scholarly publishing and preservation infrastructure in Latin America, yet the security of these platforms has received little empirical attention. This paper presents a comparative vulnerability study of OJS 3.3.0.21 and DSpace 7.6.7-SNAPSHOT, combining a systematic review of the National Vulnerability Database with ethical penetration testing in a controlled laboratory environment. The documentary review identified seven relevant CVEs, mostly Cross-Site Scripting and Cross-Site Request Forgery in OJS. The assessment followed four phases: passive reconnaissance, automated scanning with OWASP ZAP, manual verification with Burp Suite, and comparative analysis. The central finding is a confirmed CSRF vulnerability in OJS (CVE-2023-6671): tested under three </w:t>
      </w:r>
      <w:r w:rsidRPr="00345A54">
        <w:rPr>
          <w:rFonts w:ascii="Arial" w:hAnsi="Arial" w:cs="Arial"/>
          <w:lang w:val="en-US"/>
        </w:rPr>
        <w:lastRenderedPageBreak/>
        <w:t>conditions valid, absent, and invalid token the server executed the action in all three without validating the synchronization token. By contrast, DSpace strictly validated its double-submit token and rejected requests lacking a valid token. Manual verification also discarded three false positives that automated scanning had flagged as medium- or high-severity, including a SQL injection alert on a search endpoint backed by Apache Solr. The study shows that automated scanning, without manual verification, yields misleading risk profiles, and that the exposure of both platforms depends as much on the software as on deployment configuration decisions</w:t>
      </w:r>
      <w:r w:rsidR="00F6130D" w:rsidRPr="00345A54">
        <w:rPr>
          <w:rFonts w:ascii="Arial" w:hAnsi="Arial" w:cs="Arial"/>
          <w:lang w:val="en-US"/>
        </w:rPr>
        <w:t>.</w:t>
      </w:r>
    </w:p>
    <w:p w14:paraId="5E6820DD" w14:textId="77777777" w:rsidR="00F6130D" w:rsidRPr="00345A54" w:rsidRDefault="00F6130D">
      <w:pPr>
        <w:rPr>
          <w:rFonts w:ascii="Arial" w:hAnsi="Arial" w:cs="Arial"/>
          <w:lang w:val="en-US"/>
        </w:rPr>
      </w:pPr>
    </w:p>
    <w:p w14:paraId="569A8B42" w14:textId="15FE4A97" w:rsidR="00A36672" w:rsidRPr="00345A54" w:rsidRDefault="007E67A8" w:rsidP="00CD62E9">
      <w:pPr>
        <w:spacing w:line="480" w:lineRule="auto"/>
        <w:ind w:firstLine="720"/>
        <w:jc w:val="both"/>
        <w:rPr>
          <w:rFonts w:ascii="Arial" w:hAnsi="Arial" w:cs="Arial"/>
          <w:b/>
          <w:bCs/>
          <w:lang w:val="en-US"/>
        </w:rPr>
      </w:pPr>
      <w:r w:rsidRPr="00345A54">
        <w:rPr>
          <w:rFonts w:ascii="Arial" w:hAnsi="Arial" w:cs="Arial"/>
          <w:b/>
          <w:bCs/>
          <w:lang w:val="en-US"/>
        </w:rPr>
        <w:t xml:space="preserve">Keywords: </w:t>
      </w:r>
      <w:r w:rsidRPr="00345A54">
        <w:rPr>
          <w:rFonts w:ascii="Arial" w:hAnsi="Arial" w:cs="Arial"/>
          <w:lang w:val="en-US"/>
        </w:rPr>
        <w:t>cybersecurity, ethical penetration testing, Open Journal Systems, DSpace, CSRF, vulnerability analysis, adversarial thinking, academic editorial security.</w:t>
      </w:r>
    </w:p>
    <w:p w14:paraId="1FEBAA2B" w14:textId="77777777" w:rsidR="00A36672" w:rsidRPr="00345A54" w:rsidRDefault="00A36672">
      <w:pPr>
        <w:spacing w:line="480" w:lineRule="auto"/>
        <w:jc w:val="center"/>
        <w:rPr>
          <w:rFonts w:ascii="Arial" w:hAnsi="Arial" w:cs="Arial"/>
          <w:b/>
          <w:bCs/>
          <w:lang w:val="en-US"/>
        </w:rPr>
      </w:pPr>
    </w:p>
    <w:p w14:paraId="5B6A9708" w14:textId="32910144" w:rsidR="00156C62" w:rsidRPr="00345A54" w:rsidRDefault="007E67A8" w:rsidP="00456163">
      <w:pPr>
        <w:pStyle w:val="Ttulo1"/>
        <w:rPr>
          <w:rFonts w:ascii="Arial" w:hAnsi="Arial" w:cs="Arial"/>
        </w:rPr>
      </w:pPr>
      <w:r w:rsidRPr="00345A54">
        <w:rPr>
          <w:rFonts w:ascii="Arial" w:hAnsi="Arial" w:cs="Arial"/>
        </w:rPr>
        <w:t>Introducción</w:t>
      </w:r>
    </w:p>
    <w:p w14:paraId="5B6A9709" w14:textId="77777777" w:rsidR="00156C62" w:rsidRPr="00345A54" w:rsidRDefault="00156C62">
      <w:pPr>
        <w:rPr>
          <w:rFonts w:ascii="Arial" w:hAnsi="Arial" w:cs="Arial"/>
        </w:rPr>
      </w:pPr>
    </w:p>
    <w:p w14:paraId="1B1A1CBB" w14:textId="77777777" w:rsidR="00D95E40" w:rsidRPr="00345A54" w:rsidRDefault="00D95E40" w:rsidP="00BD7243">
      <w:pPr>
        <w:pStyle w:val="APA7"/>
      </w:pPr>
      <w:r w:rsidRPr="00345A54">
        <w:t>La publicación académica en América Latina corre sobre dos plataformas. Open Journal Systems gestiona el flujo editorial de miles de revistas científicas en la región, y DSpace preserva la producción investigativa de cientos de universidades. Ninguna fue construida con un modelo de amenazas explícito, y ese es el punto de partida de esta investigación (DSpace Community, 2023; Public Knowledge Project, 2025).</w:t>
      </w:r>
    </w:p>
    <w:p w14:paraId="53CCFB4A" w14:textId="77777777" w:rsidR="00D95E40" w:rsidRPr="00345A54" w:rsidRDefault="00D95E40" w:rsidP="00BD7243">
      <w:pPr>
        <w:pStyle w:val="APA7"/>
      </w:pPr>
    </w:p>
    <w:p w14:paraId="79D1190D" w14:textId="1E8C7AF0" w:rsidR="00D95E40" w:rsidRPr="00345A54" w:rsidRDefault="00D95E40" w:rsidP="00BD7243">
      <w:pPr>
        <w:pStyle w:val="APA7"/>
      </w:pPr>
      <w:r w:rsidRPr="00345A54">
        <w:t xml:space="preserve">Los registros son públicos. La National Vulnerability Database contiene múltiples CVE para OJS, incluyendo vulnerabilidades CSRF de severidad alta (National Institute of Standards and Technology, 2023). En varios casos existen versiones corregidas; en otros, como se verá, la vulnerabilidad persiste en versiones vigentes. Esa distinción </w:t>
      </w:r>
      <w:r w:rsidRPr="00345A54">
        <w:lastRenderedPageBreak/>
        <w:t>entre lo que está registrado y lo que sigue siendo explotable en una versión desplegada es central para este trabajo.</w:t>
      </w:r>
    </w:p>
    <w:p w14:paraId="65BAF963" w14:textId="77777777" w:rsidR="00D95E40" w:rsidRPr="00345A54" w:rsidRDefault="00D95E40" w:rsidP="00BD7243">
      <w:pPr>
        <w:pStyle w:val="APA7"/>
      </w:pPr>
    </w:p>
    <w:p w14:paraId="50FE39EF" w14:textId="77777777" w:rsidR="00D95E40" w:rsidRPr="00345A54" w:rsidRDefault="00D95E40" w:rsidP="00BD7243">
      <w:pPr>
        <w:pStyle w:val="APA7"/>
      </w:pPr>
      <w:r w:rsidRPr="00345A54">
        <w:t>La investigación existente cubre casos puntuales. Riadi et al. (2020) evaluaron OJS con metodología de vulnerability assessment sin llegar a la explotación controlada. Arromdoni et al. (2024) aplicaron el marco OWASP a una instalación específica de OJS sin revisar DSpace. Buchyk et al. (2025) se concentraron en el XSS de OJS y señalaron que los plugins de terceros abren una superficie que nadie ha medido con rigor. Formanek y Zaborsky (2017) analizaron repositorios europeos desde la interfaz web. Ninguno cruza evidencia documental con verificación técnica experimental sobre las dos plataformas al mismo tiempo.</w:t>
      </w:r>
    </w:p>
    <w:p w14:paraId="4401600A" w14:textId="77777777" w:rsidR="00D95E40" w:rsidRPr="00345A54" w:rsidRDefault="00D95E40" w:rsidP="00BD7243">
      <w:pPr>
        <w:pStyle w:val="APA7"/>
      </w:pPr>
    </w:p>
    <w:p w14:paraId="54A66302" w14:textId="03CE2DC9" w:rsidR="00733106" w:rsidRPr="00345A54" w:rsidRDefault="00D95E40" w:rsidP="00BD7243">
      <w:pPr>
        <w:pStyle w:val="APA7"/>
      </w:pPr>
      <w:r w:rsidRPr="00345A54">
        <w:t>El propósito de este trabajo es precisamente ese cruce. La pregunta de fondo es concreta: ¿qué ocurre cuando OJS y DSpace se evalúan como lo haría un atacante con un objetivo institucional claro? ¿Qué confirma la verificación manual y qué descarta?</w:t>
      </w:r>
    </w:p>
    <w:p w14:paraId="4C7329CD" w14:textId="77777777" w:rsidR="00BF2846" w:rsidRPr="00345A54" w:rsidRDefault="00BF2846">
      <w:pPr>
        <w:rPr>
          <w:rFonts w:ascii="Arial" w:hAnsi="Arial" w:cs="Arial"/>
        </w:rPr>
      </w:pPr>
    </w:p>
    <w:p w14:paraId="5B6A9712" w14:textId="08189498" w:rsidR="00156C62" w:rsidRPr="00345A54" w:rsidRDefault="007E67A8" w:rsidP="00C6345A">
      <w:pPr>
        <w:pStyle w:val="Ttulo1"/>
        <w:spacing w:line="480" w:lineRule="auto"/>
        <w:rPr>
          <w:rFonts w:ascii="Arial" w:hAnsi="Arial" w:cs="Arial"/>
        </w:rPr>
      </w:pPr>
      <w:r w:rsidRPr="00345A54">
        <w:rPr>
          <w:rFonts w:ascii="Arial" w:hAnsi="Arial" w:cs="Arial"/>
        </w:rPr>
        <w:t>Marco Teórico</w:t>
      </w:r>
    </w:p>
    <w:p w14:paraId="6C6149D7" w14:textId="77777777" w:rsidR="00034AED" w:rsidRPr="00034AED" w:rsidRDefault="00034AED" w:rsidP="00BD7243">
      <w:pPr>
        <w:pStyle w:val="APA7"/>
      </w:pPr>
      <w:r w:rsidRPr="00034AED">
        <w:t>OJS y DSpace no son herramientas administrativas simples: procesan credenciales de usuarios, información sobre manuscritos no publicados, identidades de evaluadores y datos de investigaciones en curso. Para el caso colombiano, esto es una obligación concreta: la Ley 1581 de 2012 establece que todo responsable del tratamiento de datos personales debe protegerlos de accesos no autorizados, con independencia del software empleado (Congreso de la República de Colombia, 2012).</w:t>
      </w:r>
    </w:p>
    <w:p w14:paraId="6B5ABF54" w14:textId="77777777" w:rsidR="00034AED" w:rsidRPr="00034AED" w:rsidRDefault="00034AED" w:rsidP="00BD7243">
      <w:pPr>
        <w:pStyle w:val="APA7"/>
      </w:pPr>
    </w:p>
    <w:p w14:paraId="136AEE08" w14:textId="77777777" w:rsidR="00034AED" w:rsidRPr="00034AED" w:rsidRDefault="00034AED" w:rsidP="00BD7243">
      <w:pPr>
        <w:pStyle w:val="APA7"/>
      </w:pPr>
      <w:r w:rsidRPr="00034AED">
        <w:t>En este trabajo se entiende por vulnerabilidad una debilidad de un sistema que un atacante puede aprovechar para comprometer la información que este maneja (National Institute of Standards and Technology, 2023). El estándar CVE asigna identificadores únicos a vulnerabilidades de software conocidas, y la NVD proporciona registros enriquecidos con métricas de severidad mediante el CVSS v3.1, que pondera el vector de ataque, la complejidad de explotación y el impacto sobre confidencialidad, integridad y disponibilidad (Forum of Incident Response and Security Teams, 2019).</w:t>
      </w:r>
    </w:p>
    <w:p w14:paraId="083A6DC5" w14:textId="77777777" w:rsidR="00034AED" w:rsidRPr="00034AED" w:rsidRDefault="00034AED" w:rsidP="00BD7243">
      <w:pPr>
        <w:pStyle w:val="APA7"/>
      </w:pPr>
    </w:p>
    <w:p w14:paraId="4491CF45" w14:textId="77777777" w:rsidR="00034AED" w:rsidRPr="00034AED" w:rsidRDefault="00034AED" w:rsidP="00BD7243">
      <w:pPr>
        <w:pStyle w:val="APA7"/>
      </w:pPr>
      <w:r w:rsidRPr="00034AED">
        <w:t>Las pruebas de penetración ética simulan un escenario real de ataque para identificar vulnerabilidades antes de que sean explotadas, siempre en un entorno controlado y autorizado (OWASP Foundation, 2021b). La diferencia no la fija la naturaleza de las herramientas, sino el tipo de proceso: un escáner reconoce indicadores de riesgo potencial; quien evalúa manualmente decide si ese riesgo es real en las condiciones del entorno. La experiencia de esta investigación confirma el sentido de esa diferencia, y el caso del SQL Injection en DSpace lo ilustra.</w:t>
      </w:r>
    </w:p>
    <w:p w14:paraId="28C96674" w14:textId="77777777" w:rsidR="00034AED" w:rsidRPr="00034AED" w:rsidRDefault="00034AED" w:rsidP="00BD7243">
      <w:pPr>
        <w:pStyle w:val="APA7"/>
      </w:pPr>
    </w:p>
    <w:p w14:paraId="516C488E" w14:textId="77777777" w:rsidR="00034AED" w:rsidRPr="00034AED" w:rsidRDefault="00034AED" w:rsidP="00BD7243">
      <w:pPr>
        <w:pStyle w:val="APA7"/>
      </w:pPr>
      <w:r w:rsidRPr="00034AED">
        <w:t xml:space="preserve">El pensamiento adversarial supone evaluar un sistema como lo haría quien pretende comprometerlo: cuál es su motivación, qué información obtendría antes del ataque y qué medios priorizaría (MITRE Corporation, 2023). En el entorno académico eso no remite a un atacante abstracto, sino a actores con finalidades concretas: acceso a investigaciones originales, interferencia en la revisión por pares o compromiso de datos de identidad. Los marcos MITRE ATT&amp;CK y OWASP Top Ten 2021 ofrecen la </w:t>
      </w:r>
      <w:r w:rsidRPr="00034AED">
        <w:lastRenderedPageBreak/>
        <w:t>taxonomía para clasificar técnicas y vulnerabilidades en este análisis (OWASP Foundation, 2021a).</w:t>
      </w:r>
    </w:p>
    <w:p w14:paraId="42285650" w14:textId="77777777" w:rsidR="00034AED" w:rsidRPr="00034AED" w:rsidRDefault="00034AED" w:rsidP="00BD7243">
      <w:pPr>
        <w:pStyle w:val="APA7"/>
      </w:pPr>
    </w:p>
    <w:p w14:paraId="7E498605" w14:textId="7270B59A" w:rsidR="00A4529D" w:rsidRDefault="00034AED" w:rsidP="00BD7243">
      <w:pPr>
        <w:pStyle w:val="APA7"/>
      </w:pPr>
      <w:r w:rsidRPr="00034AED">
        <w:t>OJS es un sistema de gestión editorial desarrollado en PHP por el Public Knowledge Project. DSpace, desarrollado en Java, es el sistema de repositorios institucionales de mayor aceptación internacional (DSpace Community, 2023). La diferencia arquitectónica PHP monolítico frente a Java con API REST separada no es un detalle de implementación: determina cuáles son los vectores accesibles, qué herramientas de evaluación son relevantes y qué tipo de exposición presenta cada plataforma.</w:t>
      </w:r>
    </w:p>
    <w:p w14:paraId="6C5EEEE5" w14:textId="77777777" w:rsidR="00034AED" w:rsidRPr="00345A54" w:rsidRDefault="00034AED" w:rsidP="00034AED">
      <w:pPr>
        <w:rPr>
          <w:rFonts w:ascii="Arial" w:hAnsi="Arial" w:cs="Arial"/>
        </w:rPr>
      </w:pPr>
    </w:p>
    <w:p w14:paraId="5B6A971E" w14:textId="2206A90E" w:rsidR="00156C62" w:rsidRPr="00345A54" w:rsidRDefault="007E67A8" w:rsidP="00456163">
      <w:pPr>
        <w:pStyle w:val="Ttulo1"/>
        <w:rPr>
          <w:rFonts w:ascii="Arial" w:hAnsi="Arial" w:cs="Arial"/>
        </w:rPr>
      </w:pPr>
      <w:r w:rsidRPr="00345A54">
        <w:rPr>
          <w:rFonts w:ascii="Arial" w:hAnsi="Arial" w:cs="Arial"/>
        </w:rPr>
        <w:t>Metodología</w:t>
      </w:r>
    </w:p>
    <w:p w14:paraId="5B6A971F" w14:textId="77777777" w:rsidR="00156C62" w:rsidRPr="00345A54" w:rsidRDefault="00156C62">
      <w:pPr>
        <w:rPr>
          <w:rFonts w:ascii="Arial" w:hAnsi="Arial" w:cs="Arial"/>
        </w:rPr>
      </w:pPr>
    </w:p>
    <w:p w14:paraId="5B6A9721" w14:textId="0D810F68" w:rsidR="00156C62" w:rsidRPr="00345A54" w:rsidRDefault="00EE4BB4" w:rsidP="00EE4BB4">
      <w:pPr>
        <w:spacing w:line="480" w:lineRule="auto"/>
        <w:rPr>
          <w:rFonts w:ascii="Arial" w:hAnsi="Arial" w:cs="Arial"/>
        </w:rPr>
      </w:pPr>
      <w:r w:rsidRPr="00345A54">
        <w:rPr>
          <w:rFonts w:ascii="Arial" w:hAnsi="Arial" w:cs="Arial"/>
        </w:rPr>
        <w:t>La investigación tiene un diseño aplicado descriptivo-comparativo con enfoque mixto (Hernández-Sampieri et al., 20</w:t>
      </w:r>
      <w:r w:rsidR="00075486" w:rsidRPr="00345A54">
        <w:rPr>
          <w:rFonts w:ascii="Arial" w:hAnsi="Arial" w:cs="Arial"/>
        </w:rPr>
        <w:t>18</w:t>
      </w:r>
      <w:r w:rsidRPr="00345A54">
        <w:rPr>
          <w:rFonts w:ascii="Arial" w:hAnsi="Arial" w:cs="Arial"/>
        </w:rPr>
        <w:t>): cuantitativo para la medición de severidad mediante la CVSS v3.1; y cualitativo para el análisis adversarial de los hallazgos. Todas las pruebas e implementaciones se ejecutaron en entornos controlados y fuera de sistemas de producción para dar cumplimiento a la Ley 1273 de 2009 así como a las normativas ISO/IEC 27001 e ISO/IEC 27032 (Congreso de la República de Colombia, 2009; ISO/IEC, 20</w:t>
      </w:r>
      <w:r w:rsidR="008A00D6" w:rsidRPr="00345A54">
        <w:rPr>
          <w:rFonts w:ascii="Arial" w:hAnsi="Arial" w:cs="Arial"/>
        </w:rPr>
        <w:t>23</w:t>
      </w:r>
      <w:r w:rsidRPr="00345A54">
        <w:rPr>
          <w:rFonts w:ascii="Arial" w:hAnsi="Arial" w:cs="Arial"/>
        </w:rPr>
        <w:t>, 20</w:t>
      </w:r>
      <w:r w:rsidR="00477FC9" w:rsidRPr="00345A54">
        <w:rPr>
          <w:rFonts w:ascii="Arial" w:hAnsi="Arial" w:cs="Arial"/>
        </w:rPr>
        <w:t>22</w:t>
      </w:r>
      <w:r w:rsidRPr="00345A54">
        <w:rPr>
          <w:rFonts w:ascii="Arial" w:hAnsi="Arial" w:cs="Arial"/>
        </w:rPr>
        <w:t>).</w:t>
      </w:r>
    </w:p>
    <w:p w14:paraId="2E15ECC3" w14:textId="77777777" w:rsidR="00EE4BB4" w:rsidRPr="00345A54" w:rsidRDefault="00EE4BB4" w:rsidP="00EE4BB4">
      <w:pPr>
        <w:spacing w:line="480" w:lineRule="auto"/>
        <w:rPr>
          <w:rFonts w:ascii="Arial" w:hAnsi="Arial" w:cs="Arial"/>
        </w:rPr>
      </w:pPr>
    </w:p>
    <w:p w14:paraId="5B6A9722" w14:textId="65D36DDF" w:rsidR="00156C62" w:rsidRPr="00345A54" w:rsidRDefault="007E67A8" w:rsidP="00456163">
      <w:pPr>
        <w:pStyle w:val="Ttulo2"/>
        <w:rPr>
          <w:rFonts w:ascii="Arial" w:hAnsi="Arial" w:cs="Arial"/>
        </w:rPr>
      </w:pPr>
      <w:r w:rsidRPr="00345A54">
        <w:rPr>
          <w:rFonts w:ascii="Arial" w:hAnsi="Arial" w:cs="Arial"/>
        </w:rPr>
        <w:t>Entorno de Laboratorio</w:t>
      </w:r>
    </w:p>
    <w:p w14:paraId="5B6A9723" w14:textId="77777777" w:rsidR="00156C62" w:rsidRPr="00345A54" w:rsidRDefault="00156C62">
      <w:pPr>
        <w:rPr>
          <w:rFonts w:ascii="Arial" w:hAnsi="Arial" w:cs="Arial"/>
        </w:rPr>
      </w:pPr>
    </w:p>
    <w:p w14:paraId="5B6A9725" w14:textId="20D679D6" w:rsidR="00156C62" w:rsidRPr="00345A54" w:rsidRDefault="00FA1413" w:rsidP="00BD7243">
      <w:pPr>
        <w:pStyle w:val="APA7"/>
        <w:rPr>
          <w:rFonts w:cs="Arial"/>
        </w:rPr>
      </w:pPr>
      <w:r w:rsidRPr="00FA1413">
        <w:rPr>
          <w:rStyle w:val="APA7Car"/>
        </w:rPr>
        <w:t xml:space="preserve">La evaluación se realizó en un entorno de laboratorio aislado. OJS 3.3.0.21 operó en el puerto 8081 bajo Apache 2.4.62 y PHP 8.1.27. DSpace 7.6.7-SNAPSHOT expuso su frontend Angular en el puerto 4000 mediante Node.js/Express y su backend </w:t>
      </w:r>
      <w:r w:rsidRPr="00FA1413">
        <w:rPr>
          <w:rStyle w:val="APA7Car"/>
        </w:rPr>
        <w:lastRenderedPageBreak/>
        <w:t>REST API en el puerto 8080 sobre Apache Tomcat. Ambas plataformas se desplegaron sobre un servidor Debian 12 (192.168.1.51), y la evaluación se ejecutó desde una estación Kali Linux (192</w:t>
      </w:r>
      <w:r w:rsidRPr="00FA1413">
        <w:rPr>
          <w:rFonts w:cs="Arial"/>
        </w:rPr>
        <w:t>.168.1.18) en una red local aislada, replicando un escenario de ataque externo.</w:t>
      </w:r>
    </w:p>
    <w:p w14:paraId="5B6A9726" w14:textId="77777777" w:rsidR="00156C62" w:rsidRPr="00345A54" w:rsidRDefault="007E67A8" w:rsidP="00651A7D">
      <w:pPr>
        <w:spacing w:line="480" w:lineRule="auto"/>
        <w:rPr>
          <w:rFonts w:ascii="Arial" w:hAnsi="Arial" w:cs="Arial"/>
          <w:b/>
          <w:bCs/>
        </w:rPr>
      </w:pPr>
      <w:r w:rsidRPr="00345A54">
        <w:rPr>
          <w:rFonts w:ascii="Arial" w:hAnsi="Arial" w:cs="Arial"/>
          <w:b/>
          <w:bCs/>
        </w:rPr>
        <w:t>Figura 1</w:t>
      </w:r>
    </w:p>
    <w:p w14:paraId="5B6A972A" w14:textId="5C1F2AD6" w:rsidR="00156C62" w:rsidRPr="00345A54" w:rsidRDefault="007E67A8" w:rsidP="00651A7D">
      <w:pPr>
        <w:spacing w:line="480" w:lineRule="auto"/>
        <w:rPr>
          <w:rFonts w:ascii="Arial" w:hAnsi="Arial" w:cs="Arial"/>
        </w:rPr>
      </w:pPr>
      <w:r w:rsidRPr="00345A54">
        <w:rPr>
          <w:rFonts w:ascii="Arial" w:hAnsi="Arial" w:cs="Arial"/>
          <w:i/>
          <w:iCs/>
        </w:rPr>
        <w:t>Arquitectura de red del entorno de laboratorio</w:t>
      </w:r>
      <w:r w:rsidR="00651A7D" w:rsidRPr="00345A54">
        <w:rPr>
          <w:rFonts w:ascii="Arial" w:hAnsi="Arial" w:cs="Arial"/>
          <w:i/>
          <w:iCs/>
          <w:noProof/>
          <w:color w:val="666666"/>
          <w:sz w:val="22"/>
          <w:szCs w:val="22"/>
        </w:rPr>
        <w:drawing>
          <wp:inline distT="0" distB="0" distL="0" distR="0" wp14:anchorId="62162309" wp14:editId="1197D4B6">
            <wp:extent cx="5943600" cy="3452495"/>
            <wp:effectExtent l="0" t="0" r="0" b="0"/>
            <wp:docPr id="2075158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58337" name=""/>
                    <pic:cNvPicPr/>
                  </pic:nvPicPr>
                  <pic:blipFill>
                    <a:blip r:embed="rId8"/>
                    <a:stretch>
                      <a:fillRect/>
                    </a:stretch>
                  </pic:blipFill>
                  <pic:spPr>
                    <a:xfrm>
                      <a:off x="0" y="0"/>
                      <a:ext cx="5943600" cy="3452495"/>
                    </a:xfrm>
                    <a:prstGeom prst="rect">
                      <a:avLst/>
                    </a:prstGeom>
                  </pic:spPr>
                </pic:pic>
              </a:graphicData>
            </a:graphic>
          </wp:inline>
        </w:drawing>
      </w:r>
    </w:p>
    <w:p w14:paraId="5B6A972B" w14:textId="77777777" w:rsidR="00156C62" w:rsidRPr="00345A54" w:rsidRDefault="007E67A8">
      <w:pPr>
        <w:spacing w:line="480" w:lineRule="auto"/>
        <w:rPr>
          <w:rFonts w:ascii="Arial" w:hAnsi="Arial" w:cs="Arial"/>
        </w:rPr>
      </w:pPr>
      <w:r w:rsidRPr="00345A54">
        <w:rPr>
          <w:rFonts w:ascii="Arial" w:hAnsi="Arial" w:cs="Arial"/>
          <w:i/>
          <w:iCs/>
          <w:sz w:val="20"/>
          <w:szCs w:val="20"/>
        </w:rPr>
        <w:t>Nota. Elaboración propia. Entorno de evaluación controlado en red local aislada 192.168.1.0/24.</w:t>
      </w:r>
    </w:p>
    <w:p w14:paraId="5B6A972C" w14:textId="77777777" w:rsidR="00156C62" w:rsidRPr="00345A54" w:rsidRDefault="00156C62">
      <w:pPr>
        <w:rPr>
          <w:rFonts w:ascii="Arial" w:hAnsi="Arial" w:cs="Arial"/>
        </w:rPr>
      </w:pPr>
    </w:p>
    <w:p w14:paraId="5B6A972D" w14:textId="5C53320F" w:rsidR="00156C62" w:rsidRPr="00345A54" w:rsidRDefault="007E67A8" w:rsidP="00456163">
      <w:pPr>
        <w:pStyle w:val="Ttulo2"/>
        <w:rPr>
          <w:rFonts w:ascii="Arial" w:hAnsi="Arial" w:cs="Arial"/>
        </w:rPr>
      </w:pPr>
      <w:r w:rsidRPr="00345A54">
        <w:rPr>
          <w:rFonts w:ascii="Arial" w:hAnsi="Arial" w:cs="Arial"/>
        </w:rPr>
        <w:t>Fases de Evaluación</w:t>
      </w:r>
    </w:p>
    <w:p w14:paraId="5B6A972E" w14:textId="77777777" w:rsidR="00156C62" w:rsidRPr="00345A54" w:rsidRDefault="00156C62">
      <w:pPr>
        <w:rPr>
          <w:rFonts w:ascii="Arial" w:hAnsi="Arial" w:cs="Arial"/>
        </w:rPr>
      </w:pPr>
    </w:p>
    <w:p w14:paraId="67187A8A" w14:textId="401755F7" w:rsidR="00456163" w:rsidRPr="00345A54" w:rsidRDefault="007E67A8">
      <w:pPr>
        <w:spacing w:line="480" w:lineRule="auto"/>
        <w:ind w:firstLine="720"/>
        <w:jc w:val="both"/>
        <w:rPr>
          <w:rFonts w:ascii="Arial" w:hAnsi="Arial" w:cs="Arial"/>
        </w:rPr>
      </w:pPr>
      <w:r w:rsidRPr="00345A54">
        <w:rPr>
          <w:rFonts w:ascii="Arial" w:hAnsi="Arial" w:cs="Arial"/>
        </w:rPr>
        <w:t>La evaluación siguió la OWASP Web Security Testing Guide v5.0 (OWASP Foundation, 2021b) y el marco MITRE ATT&amp;CK (MITRE Corporation, 2023) en cuatro fases secuenciales.</w:t>
      </w:r>
    </w:p>
    <w:p w14:paraId="5B6A9730" w14:textId="77777777" w:rsidR="00156C62" w:rsidRPr="00345A54" w:rsidRDefault="00156C62">
      <w:pPr>
        <w:rPr>
          <w:rFonts w:ascii="Arial" w:hAnsi="Arial" w:cs="Arial"/>
        </w:rPr>
      </w:pPr>
    </w:p>
    <w:p w14:paraId="2E69C82D" w14:textId="77777777" w:rsidR="00863E25" w:rsidRPr="00345A54" w:rsidRDefault="00863E25">
      <w:pPr>
        <w:rPr>
          <w:rFonts w:ascii="Arial" w:hAnsi="Arial" w:cs="Arial"/>
        </w:rPr>
      </w:pPr>
    </w:p>
    <w:p w14:paraId="17E90C1C" w14:textId="77777777" w:rsidR="00863E25" w:rsidRPr="00345A54" w:rsidRDefault="00863E25">
      <w:pPr>
        <w:rPr>
          <w:rFonts w:ascii="Arial" w:hAnsi="Arial" w:cs="Arial"/>
        </w:rPr>
      </w:pPr>
    </w:p>
    <w:p w14:paraId="3A59AC43" w14:textId="77777777" w:rsidR="00863E25" w:rsidRPr="00345A54" w:rsidRDefault="00863E25">
      <w:pPr>
        <w:rPr>
          <w:rFonts w:ascii="Arial" w:hAnsi="Arial" w:cs="Arial"/>
        </w:rPr>
      </w:pPr>
    </w:p>
    <w:p w14:paraId="2F16C81A" w14:textId="77777777" w:rsidR="00863E25" w:rsidRPr="00345A54" w:rsidRDefault="00863E25">
      <w:pPr>
        <w:rPr>
          <w:rFonts w:ascii="Arial" w:hAnsi="Arial" w:cs="Arial"/>
        </w:rPr>
      </w:pPr>
    </w:p>
    <w:p w14:paraId="6D6020B8" w14:textId="77777777" w:rsidR="00863E25" w:rsidRPr="00345A54" w:rsidRDefault="00863E25">
      <w:pPr>
        <w:rPr>
          <w:rFonts w:ascii="Arial" w:hAnsi="Arial" w:cs="Arial"/>
        </w:rPr>
      </w:pPr>
    </w:p>
    <w:p w14:paraId="5B6A9731" w14:textId="47B6962D" w:rsidR="00156C62" w:rsidRPr="00345A54" w:rsidRDefault="007E67A8">
      <w:pPr>
        <w:spacing w:line="480" w:lineRule="auto"/>
        <w:ind w:left="720"/>
        <w:rPr>
          <w:rFonts w:ascii="Arial" w:hAnsi="Arial" w:cs="Arial"/>
        </w:rPr>
      </w:pPr>
      <w:r w:rsidRPr="00345A54">
        <w:rPr>
          <w:rFonts w:ascii="Arial" w:hAnsi="Arial" w:cs="Arial"/>
          <w:b/>
          <w:bCs/>
          <w:i/>
          <w:iCs/>
        </w:rPr>
        <w:t>Fase 1 Reconocimiento pasivo</w:t>
      </w:r>
    </w:p>
    <w:p w14:paraId="5B6A9732" w14:textId="77777777" w:rsidR="00156C62" w:rsidRPr="00345A54" w:rsidRDefault="00156C62">
      <w:pPr>
        <w:rPr>
          <w:rFonts w:ascii="Arial" w:hAnsi="Arial" w:cs="Arial"/>
        </w:rPr>
      </w:pPr>
    </w:p>
    <w:p w14:paraId="5B6A9733" w14:textId="77777777" w:rsidR="00156C62" w:rsidRPr="00345A54" w:rsidRDefault="007E67A8">
      <w:pPr>
        <w:spacing w:line="480" w:lineRule="auto"/>
        <w:ind w:firstLine="720"/>
        <w:jc w:val="both"/>
        <w:rPr>
          <w:rFonts w:ascii="Arial" w:hAnsi="Arial" w:cs="Arial"/>
        </w:rPr>
      </w:pPr>
      <w:r w:rsidRPr="00345A54">
        <w:rPr>
          <w:rFonts w:ascii="Arial" w:hAnsi="Arial" w:cs="Arial"/>
        </w:rPr>
        <w:t>Nmap 7.95 para escaneo de puertos con detección de versiones; curl para análisis de cabeceras HTTP de respuesta. Alineada con la táctica de Reconocimiento (TA0043) de MITRE ATT&amp;CK.</w:t>
      </w:r>
    </w:p>
    <w:p w14:paraId="5B6A9734" w14:textId="77777777" w:rsidR="00156C62" w:rsidRPr="00345A54" w:rsidRDefault="00156C62">
      <w:pPr>
        <w:rPr>
          <w:rFonts w:ascii="Arial" w:hAnsi="Arial" w:cs="Arial"/>
        </w:rPr>
      </w:pPr>
    </w:p>
    <w:p w14:paraId="7CE8A18A" w14:textId="77777777" w:rsidR="00C731E0" w:rsidRPr="00345A54" w:rsidRDefault="00C731E0">
      <w:pPr>
        <w:rPr>
          <w:rFonts w:ascii="Arial" w:hAnsi="Arial" w:cs="Arial"/>
        </w:rPr>
      </w:pPr>
    </w:p>
    <w:p w14:paraId="5B6A9735" w14:textId="5E7D2560" w:rsidR="00156C62" w:rsidRPr="00345A54" w:rsidRDefault="007E67A8" w:rsidP="00456163">
      <w:pPr>
        <w:pStyle w:val="Ttulo3"/>
        <w:rPr>
          <w:rFonts w:ascii="Arial" w:hAnsi="Arial" w:cs="Arial"/>
        </w:rPr>
      </w:pPr>
      <w:r w:rsidRPr="00345A54">
        <w:rPr>
          <w:rFonts w:ascii="Arial" w:hAnsi="Arial" w:cs="Arial"/>
        </w:rPr>
        <w:t>Fase 2 Escaneo automatizado</w:t>
      </w:r>
    </w:p>
    <w:p w14:paraId="5B6A9736" w14:textId="77777777" w:rsidR="00156C62" w:rsidRPr="00345A54" w:rsidRDefault="00156C62">
      <w:pPr>
        <w:rPr>
          <w:rFonts w:ascii="Arial" w:hAnsi="Arial" w:cs="Arial"/>
        </w:rPr>
      </w:pPr>
    </w:p>
    <w:p w14:paraId="5B6A9737" w14:textId="7B0A4486" w:rsidR="00156C62" w:rsidRPr="00345A54" w:rsidRDefault="00BD0532">
      <w:pPr>
        <w:spacing w:line="480" w:lineRule="auto"/>
        <w:ind w:firstLine="720"/>
        <w:jc w:val="both"/>
        <w:rPr>
          <w:rFonts w:ascii="Arial" w:hAnsi="Arial" w:cs="Arial"/>
        </w:rPr>
      </w:pPr>
      <w:r w:rsidRPr="00BD0532">
        <w:rPr>
          <w:rFonts w:ascii="Arial" w:hAnsi="Arial" w:cs="Arial"/>
        </w:rPr>
        <w:t>Análisis activo con OWASP ZAP 2.17.0, con spider tradicional y AJAX spider, para las tres capas de servicio.</w:t>
      </w:r>
    </w:p>
    <w:p w14:paraId="5B6A9738" w14:textId="77777777" w:rsidR="00156C62" w:rsidRPr="00345A54" w:rsidRDefault="00156C62">
      <w:pPr>
        <w:rPr>
          <w:rFonts w:ascii="Arial" w:hAnsi="Arial" w:cs="Arial"/>
        </w:rPr>
      </w:pPr>
    </w:p>
    <w:p w14:paraId="5B6A9739" w14:textId="6A2316A2" w:rsidR="00156C62" w:rsidRPr="00345A54" w:rsidRDefault="007E67A8" w:rsidP="00456163">
      <w:pPr>
        <w:pStyle w:val="Ttulo3"/>
        <w:rPr>
          <w:rFonts w:ascii="Arial" w:hAnsi="Arial" w:cs="Arial"/>
        </w:rPr>
      </w:pPr>
      <w:r w:rsidRPr="00345A54">
        <w:rPr>
          <w:rFonts w:ascii="Arial" w:hAnsi="Arial" w:cs="Arial"/>
        </w:rPr>
        <w:t>Fase 3</w:t>
      </w:r>
      <w:r w:rsidR="000C67BD" w:rsidRPr="00345A54">
        <w:rPr>
          <w:rFonts w:ascii="Arial" w:hAnsi="Arial" w:cs="Arial"/>
        </w:rPr>
        <w:t>.</w:t>
      </w:r>
      <w:r w:rsidRPr="00345A54">
        <w:rPr>
          <w:rFonts w:ascii="Arial" w:hAnsi="Arial" w:cs="Arial"/>
        </w:rPr>
        <w:t xml:space="preserve"> Verificación técnica manual</w:t>
      </w:r>
    </w:p>
    <w:p w14:paraId="5B6A973A" w14:textId="77777777" w:rsidR="00156C62" w:rsidRPr="00345A54" w:rsidRDefault="00156C62">
      <w:pPr>
        <w:rPr>
          <w:rFonts w:ascii="Arial" w:hAnsi="Arial" w:cs="Arial"/>
        </w:rPr>
      </w:pPr>
    </w:p>
    <w:p w14:paraId="5B6A973C" w14:textId="1663BB79" w:rsidR="00156C62" w:rsidRDefault="00633A94" w:rsidP="00BD7243">
      <w:pPr>
        <w:pStyle w:val="APA7"/>
      </w:pPr>
      <w:r>
        <w:t>Está se realizó con Burp Suite Community Edition, complementada con curl para pruebas puntuales y con OpenVAS para la capa de infraestructura. Metasploit Framework se utilizó de forma acotada, para comprobar la disponibilidad de módulos de explotación aplicables.</w:t>
      </w:r>
    </w:p>
    <w:p w14:paraId="24E40074" w14:textId="77777777" w:rsidR="00633A94" w:rsidRPr="00345A54" w:rsidRDefault="00633A94">
      <w:pPr>
        <w:rPr>
          <w:rFonts w:ascii="Arial" w:hAnsi="Arial" w:cs="Arial"/>
        </w:rPr>
      </w:pPr>
    </w:p>
    <w:p w14:paraId="5B6A973D" w14:textId="74553DD6" w:rsidR="00156C62" w:rsidRPr="00345A54" w:rsidRDefault="007E67A8" w:rsidP="00456163">
      <w:pPr>
        <w:pStyle w:val="Ttulo3"/>
        <w:rPr>
          <w:rFonts w:ascii="Arial" w:hAnsi="Arial" w:cs="Arial"/>
        </w:rPr>
      </w:pPr>
      <w:r w:rsidRPr="00345A54">
        <w:rPr>
          <w:rFonts w:ascii="Arial" w:hAnsi="Arial" w:cs="Arial"/>
        </w:rPr>
        <w:t>Fase 4</w:t>
      </w:r>
      <w:r w:rsidR="000C67BD" w:rsidRPr="00345A54">
        <w:rPr>
          <w:rFonts w:ascii="Arial" w:hAnsi="Arial" w:cs="Arial"/>
        </w:rPr>
        <w:t>.</w:t>
      </w:r>
      <w:r w:rsidR="00E76F54" w:rsidRPr="00345A54">
        <w:rPr>
          <w:rFonts w:ascii="Arial" w:hAnsi="Arial" w:cs="Arial"/>
        </w:rPr>
        <w:t xml:space="preserve"> </w:t>
      </w:r>
      <w:r w:rsidRPr="00345A54">
        <w:rPr>
          <w:rFonts w:ascii="Arial" w:hAnsi="Arial" w:cs="Arial"/>
        </w:rPr>
        <w:t>Documentación comparativa</w:t>
      </w:r>
    </w:p>
    <w:p w14:paraId="5B6A973E" w14:textId="77777777" w:rsidR="00156C62" w:rsidRPr="00345A54" w:rsidRDefault="00156C62">
      <w:pPr>
        <w:rPr>
          <w:rFonts w:ascii="Arial" w:hAnsi="Arial" w:cs="Arial"/>
        </w:rPr>
      </w:pPr>
    </w:p>
    <w:p w14:paraId="1288544C" w14:textId="6DDF4B8E" w:rsidR="00651A7D" w:rsidRPr="00345A54" w:rsidRDefault="007E67A8">
      <w:pPr>
        <w:spacing w:line="480" w:lineRule="auto"/>
        <w:ind w:firstLine="720"/>
        <w:jc w:val="both"/>
        <w:rPr>
          <w:rFonts w:ascii="Arial" w:hAnsi="Arial" w:cs="Arial"/>
        </w:rPr>
      </w:pPr>
      <w:r w:rsidRPr="00345A54">
        <w:rPr>
          <w:rFonts w:ascii="Arial" w:hAnsi="Arial" w:cs="Arial"/>
        </w:rPr>
        <w:t>Integración de hallazgos en matriz de riesgo clasificada por OWASP Top Ten 2021 y CVSS v3.1.</w:t>
      </w:r>
    </w:p>
    <w:p w14:paraId="5B6A9740" w14:textId="77777777" w:rsidR="00156C62" w:rsidRPr="00345A54" w:rsidRDefault="00156C62">
      <w:pPr>
        <w:rPr>
          <w:rFonts w:ascii="Arial" w:hAnsi="Arial" w:cs="Arial"/>
        </w:rPr>
      </w:pPr>
    </w:p>
    <w:p w14:paraId="2F97E847" w14:textId="77777777" w:rsidR="00975805" w:rsidRPr="00345A54" w:rsidRDefault="00975805">
      <w:pPr>
        <w:rPr>
          <w:rFonts w:ascii="Arial" w:hAnsi="Arial" w:cs="Arial"/>
          <w:b/>
          <w:bCs/>
        </w:rPr>
      </w:pPr>
      <w:r w:rsidRPr="00345A54">
        <w:rPr>
          <w:rFonts w:ascii="Arial" w:hAnsi="Arial" w:cs="Arial"/>
        </w:rPr>
        <w:br w:type="page"/>
      </w:r>
    </w:p>
    <w:p w14:paraId="5B6A9741" w14:textId="30D32750" w:rsidR="00156C62" w:rsidRPr="00345A54" w:rsidRDefault="007E67A8" w:rsidP="00456163">
      <w:pPr>
        <w:pStyle w:val="Ttulo1"/>
        <w:rPr>
          <w:rFonts w:ascii="Arial" w:hAnsi="Arial" w:cs="Arial"/>
        </w:rPr>
      </w:pPr>
      <w:r w:rsidRPr="00345A54">
        <w:rPr>
          <w:rFonts w:ascii="Arial" w:hAnsi="Arial" w:cs="Arial"/>
        </w:rPr>
        <w:lastRenderedPageBreak/>
        <w:t>Resultados</w:t>
      </w:r>
    </w:p>
    <w:p w14:paraId="5B6A9742" w14:textId="77777777" w:rsidR="00156C62" w:rsidRPr="00345A54" w:rsidRDefault="00156C62">
      <w:pPr>
        <w:rPr>
          <w:rFonts w:ascii="Arial" w:hAnsi="Arial" w:cs="Arial"/>
        </w:rPr>
      </w:pPr>
    </w:p>
    <w:p w14:paraId="5B6A9743" w14:textId="4F0A4562" w:rsidR="00156C62" w:rsidRPr="00345A54" w:rsidRDefault="007E67A8" w:rsidP="00C26D45">
      <w:pPr>
        <w:pStyle w:val="Ttulo2"/>
        <w:rPr>
          <w:rFonts w:ascii="Arial" w:hAnsi="Arial" w:cs="Arial"/>
        </w:rPr>
      </w:pPr>
      <w:r w:rsidRPr="00345A54">
        <w:rPr>
          <w:rFonts w:ascii="Arial" w:hAnsi="Arial" w:cs="Arial"/>
        </w:rPr>
        <w:t>Vulnerabilidades Oficialmente Registradas</w:t>
      </w:r>
    </w:p>
    <w:p w14:paraId="5B6A9744" w14:textId="77777777" w:rsidR="00156C62" w:rsidRPr="00345A54" w:rsidRDefault="00156C62">
      <w:pPr>
        <w:rPr>
          <w:rFonts w:ascii="Arial" w:hAnsi="Arial" w:cs="Arial"/>
        </w:rPr>
      </w:pPr>
    </w:p>
    <w:p w14:paraId="6B435ADD" w14:textId="5DD6EE0B" w:rsidR="00BF4D35" w:rsidRPr="00345A54" w:rsidRDefault="008465E0" w:rsidP="00BF4D35">
      <w:pPr>
        <w:spacing w:line="480" w:lineRule="auto"/>
        <w:rPr>
          <w:rFonts w:ascii="Arial" w:hAnsi="Arial" w:cs="Arial"/>
        </w:rPr>
      </w:pPr>
      <w:r w:rsidRPr="008465E0">
        <w:rPr>
          <w:rFonts w:ascii="Arial" w:hAnsi="Arial" w:cs="Arial"/>
        </w:rPr>
        <w:t>La Tabla 1 recoge los siete CVE que superaron los criterios de inclusión del análisis documental. OJS concentra sus registros en dos categorías, XSS y CSRF, lo que denota un problema de raíz en la validación de entradas y el control de solicitudes autenticadas. DSpace presenta menos registros, pero eso no implica mayor seguridad, sino menor evaluación pública. De los siete, solo dos conservaron pertinencia para las versiones evaluadas: CVE-2023-6671 y CVE-2024-25436; los registros de DSpace corresponden a la interfaz JSPUI, componente ausente en la arquitectura 7.x.</w:t>
      </w:r>
    </w:p>
    <w:p w14:paraId="5B6A9747" w14:textId="750EFAB0" w:rsidR="00156C62" w:rsidRPr="00345A54" w:rsidRDefault="007E67A8" w:rsidP="000C67BD">
      <w:pPr>
        <w:spacing w:line="480" w:lineRule="auto"/>
        <w:rPr>
          <w:rFonts w:ascii="Arial" w:hAnsi="Arial" w:cs="Arial"/>
          <w:b/>
          <w:bCs/>
        </w:rPr>
      </w:pPr>
      <w:r w:rsidRPr="00345A54">
        <w:rPr>
          <w:rFonts w:ascii="Arial" w:hAnsi="Arial" w:cs="Arial"/>
          <w:b/>
          <w:bCs/>
        </w:rPr>
        <w:t>Tabla 1</w:t>
      </w:r>
      <w:r w:rsidR="000C67BD" w:rsidRPr="00345A54">
        <w:rPr>
          <w:rFonts w:ascii="Arial" w:hAnsi="Arial" w:cs="Arial"/>
          <w:b/>
          <w:bCs/>
        </w:rPr>
        <w:t>.</w:t>
      </w:r>
    </w:p>
    <w:p w14:paraId="5B6A9748" w14:textId="5B9476BB" w:rsidR="00156C62" w:rsidRPr="00345A54" w:rsidRDefault="007E67A8" w:rsidP="000C67BD">
      <w:pPr>
        <w:spacing w:line="480" w:lineRule="auto"/>
        <w:rPr>
          <w:rFonts w:ascii="Arial" w:hAnsi="Arial" w:cs="Arial"/>
        </w:rPr>
      </w:pPr>
      <w:r w:rsidRPr="00345A54">
        <w:rPr>
          <w:rFonts w:ascii="Arial" w:hAnsi="Arial" w:cs="Arial"/>
          <w:i/>
          <w:iCs/>
        </w:rPr>
        <w:t>Vulnerabilidades oficialmente registradas en OJS y DSpace  NVD (2019</w:t>
      </w:r>
      <w:r w:rsidR="000C67BD" w:rsidRPr="00345A54">
        <w:rPr>
          <w:rFonts w:ascii="Arial" w:hAnsi="Arial" w:cs="Arial"/>
          <w:i/>
          <w:iCs/>
        </w:rPr>
        <w:t xml:space="preserve"> </w:t>
      </w:r>
      <w:r w:rsidR="00A96B01">
        <w:rPr>
          <w:rFonts w:ascii="Arial" w:hAnsi="Arial" w:cs="Arial"/>
          <w:i/>
          <w:iCs/>
        </w:rPr>
        <w:t xml:space="preserve">- </w:t>
      </w:r>
      <w:r w:rsidRPr="00345A54">
        <w:rPr>
          <w:rFonts w:ascii="Arial" w:hAnsi="Arial" w:cs="Arial"/>
          <w:i/>
          <w:iCs/>
        </w:rPr>
        <w:t>2024)</w:t>
      </w:r>
    </w:p>
    <w:tbl>
      <w:tblPr>
        <w:tblStyle w:val="Tablanormal2"/>
        <w:tblW w:w="9360" w:type="dxa"/>
        <w:tblLayout w:type="fixed"/>
        <w:tblLook w:val="0600" w:firstRow="0" w:lastRow="0" w:firstColumn="0" w:lastColumn="0" w:noHBand="1" w:noVBand="1"/>
      </w:tblPr>
      <w:tblGrid>
        <w:gridCol w:w="1338"/>
        <w:gridCol w:w="1337"/>
        <w:gridCol w:w="1337"/>
        <w:gridCol w:w="1337"/>
        <w:gridCol w:w="1337"/>
        <w:gridCol w:w="1337"/>
        <w:gridCol w:w="1337"/>
      </w:tblGrid>
      <w:tr w:rsidR="00A96B01" w:rsidRPr="005E5E64" w14:paraId="60B22BA7" w14:textId="77777777" w:rsidTr="00A96B01">
        <w:tc>
          <w:tcPr>
            <w:tcW w:w="1338" w:type="dxa"/>
            <w:tcBorders>
              <w:top w:val="single" w:sz="4" w:space="0" w:color="7F7F7F" w:themeColor="text1" w:themeTint="80"/>
              <w:bottom w:val="single" w:sz="4" w:space="0" w:color="auto"/>
            </w:tcBorders>
          </w:tcPr>
          <w:p w14:paraId="5254EBFC" w14:textId="77777777" w:rsidR="00A96B01" w:rsidRPr="005E5E64" w:rsidRDefault="00A96B01" w:rsidP="00A96B01">
            <w:pPr>
              <w:pStyle w:val="Sinespaciado"/>
              <w:rPr>
                <w:b/>
                <w:bCs/>
                <w:sz w:val="20"/>
                <w:szCs w:val="20"/>
              </w:rPr>
            </w:pPr>
            <w:r w:rsidRPr="005E5E64">
              <w:rPr>
                <w:b/>
                <w:bCs/>
                <w:sz w:val="20"/>
                <w:szCs w:val="20"/>
              </w:rPr>
              <w:t>CVE</w:t>
            </w:r>
          </w:p>
        </w:tc>
        <w:tc>
          <w:tcPr>
            <w:tcW w:w="1337" w:type="dxa"/>
            <w:tcBorders>
              <w:top w:val="single" w:sz="4" w:space="0" w:color="7F7F7F" w:themeColor="text1" w:themeTint="80"/>
              <w:bottom w:val="single" w:sz="4" w:space="0" w:color="auto"/>
            </w:tcBorders>
          </w:tcPr>
          <w:p w14:paraId="1EEE02FB" w14:textId="77777777" w:rsidR="00A96B01" w:rsidRPr="005E5E64" w:rsidRDefault="00A96B01" w:rsidP="00A96B01">
            <w:pPr>
              <w:pStyle w:val="Sinespaciado"/>
              <w:rPr>
                <w:b/>
                <w:bCs/>
                <w:sz w:val="20"/>
                <w:szCs w:val="20"/>
              </w:rPr>
            </w:pPr>
            <w:r w:rsidRPr="005E5E64">
              <w:rPr>
                <w:b/>
                <w:bCs/>
                <w:sz w:val="20"/>
                <w:szCs w:val="20"/>
              </w:rPr>
              <w:t>Plataforma</w:t>
            </w:r>
          </w:p>
        </w:tc>
        <w:tc>
          <w:tcPr>
            <w:tcW w:w="1337" w:type="dxa"/>
            <w:tcBorders>
              <w:top w:val="single" w:sz="4" w:space="0" w:color="7F7F7F" w:themeColor="text1" w:themeTint="80"/>
              <w:bottom w:val="single" w:sz="4" w:space="0" w:color="auto"/>
            </w:tcBorders>
          </w:tcPr>
          <w:p w14:paraId="2BF52842" w14:textId="77777777" w:rsidR="00A96B01" w:rsidRPr="005E5E64" w:rsidRDefault="00A96B01" w:rsidP="00A96B01">
            <w:pPr>
              <w:pStyle w:val="Sinespaciado"/>
              <w:rPr>
                <w:b/>
                <w:bCs/>
                <w:sz w:val="20"/>
                <w:szCs w:val="20"/>
              </w:rPr>
            </w:pPr>
            <w:r w:rsidRPr="005E5E64">
              <w:rPr>
                <w:b/>
                <w:bCs/>
                <w:sz w:val="20"/>
                <w:szCs w:val="20"/>
              </w:rPr>
              <w:t>Tipo</w:t>
            </w:r>
          </w:p>
        </w:tc>
        <w:tc>
          <w:tcPr>
            <w:tcW w:w="1337" w:type="dxa"/>
            <w:tcBorders>
              <w:top w:val="single" w:sz="4" w:space="0" w:color="7F7F7F" w:themeColor="text1" w:themeTint="80"/>
              <w:bottom w:val="single" w:sz="4" w:space="0" w:color="auto"/>
            </w:tcBorders>
          </w:tcPr>
          <w:p w14:paraId="771633FB" w14:textId="77777777" w:rsidR="00A96B01" w:rsidRPr="005E5E64" w:rsidRDefault="00A96B01" w:rsidP="00A96B01">
            <w:pPr>
              <w:pStyle w:val="Sinespaciado"/>
              <w:rPr>
                <w:b/>
                <w:bCs/>
                <w:sz w:val="20"/>
                <w:szCs w:val="20"/>
              </w:rPr>
            </w:pPr>
            <w:r w:rsidRPr="005E5E64">
              <w:rPr>
                <w:b/>
                <w:bCs/>
                <w:sz w:val="20"/>
                <w:szCs w:val="20"/>
              </w:rPr>
              <w:t>CWE</w:t>
            </w:r>
          </w:p>
        </w:tc>
        <w:tc>
          <w:tcPr>
            <w:tcW w:w="1337" w:type="dxa"/>
            <w:tcBorders>
              <w:top w:val="single" w:sz="4" w:space="0" w:color="7F7F7F" w:themeColor="text1" w:themeTint="80"/>
              <w:bottom w:val="single" w:sz="4" w:space="0" w:color="auto"/>
            </w:tcBorders>
          </w:tcPr>
          <w:p w14:paraId="29D51361" w14:textId="77777777" w:rsidR="00A96B01" w:rsidRPr="005E5E64" w:rsidRDefault="00A96B01" w:rsidP="00A96B01">
            <w:pPr>
              <w:pStyle w:val="Sinespaciado"/>
              <w:rPr>
                <w:b/>
                <w:bCs/>
                <w:sz w:val="20"/>
                <w:szCs w:val="20"/>
              </w:rPr>
            </w:pPr>
            <w:r w:rsidRPr="005E5E64">
              <w:rPr>
                <w:b/>
                <w:bCs/>
                <w:sz w:val="20"/>
                <w:szCs w:val="20"/>
              </w:rPr>
              <w:t>CVSS v3.1</w:t>
            </w:r>
          </w:p>
        </w:tc>
        <w:tc>
          <w:tcPr>
            <w:tcW w:w="1337" w:type="dxa"/>
            <w:tcBorders>
              <w:top w:val="single" w:sz="4" w:space="0" w:color="7F7F7F" w:themeColor="text1" w:themeTint="80"/>
              <w:bottom w:val="single" w:sz="4" w:space="0" w:color="auto"/>
            </w:tcBorders>
          </w:tcPr>
          <w:p w14:paraId="6E5538FE" w14:textId="77777777" w:rsidR="00A96B01" w:rsidRPr="005E5E64" w:rsidRDefault="00A96B01" w:rsidP="00A96B01">
            <w:pPr>
              <w:pStyle w:val="Sinespaciado"/>
              <w:rPr>
                <w:b/>
                <w:bCs/>
                <w:sz w:val="20"/>
                <w:szCs w:val="20"/>
              </w:rPr>
            </w:pPr>
            <w:r w:rsidRPr="005E5E64">
              <w:rPr>
                <w:b/>
                <w:bCs/>
                <w:sz w:val="20"/>
                <w:szCs w:val="20"/>
              </w:rPr>
              <w:t>Nivel</w:t>
            </w:r>
          </w:p>
        </w:tc>
        <w:tc>
          <w:tcPr>
            <w:tcW w:w="1337" w:type="dxa"/>
            <w:tcBorders>
              <w:top w:val="single" w:sz="4" w:space="0" w:color="7F7F7F" w:themeColor="text1" w:themeTint="80"/>
              <w:bottom w:val="single" w:sz="4" w:space="0" w:color="auto"/>
            </w:tcBorders>
          </w:tcPr>
          <w:p w14:paraId="5678506C" w14:textId="77777777" w:rsidR="00A96B01" w:rsidRPr="005E5E64" w:rsidRDefault="00A96B01" w:rsidP="00A96B01">
            <w:pPr>
              <w:pStyle w:val="Sinespaciado"/>
              <w:rPr>
                <w:b/>
                <w:bCs/>
                <w:sz w:val="20"/>
                <w:szCs w:val="20"/>
              </w:rPr>
            </w:pPr>
            <w:r w:rsidRPr="005E5E64">
              <w:rPr>
                <w:b/>
                <w:bCs/>
                <w:sz w:val="20"/>
                <w:szCs w:val="20"/>
              </w:rPr>
              <w:t>Aplicabilidad a la versión evaluada</w:t>
            </w:r>
          </w:p>
        </w:tc>
      </w:tr>
      <w:tr w:rsidR="00A96B01" w:rsidRPr="005E5E64" w14:paraId="21CE2F3D" w14:textId="77777777" w:rsidTr="00A96B01">
        <w:tc>
          <w:tcPr>
            <w:tcW w:w="1338" w:type="dxa"/>
            <w:tcBorders>
              <w:top w:val="single" w:sz="4" w:space="0" w:color="auto"/>
            </w:tcBorders>
          </w:tcPr>
          <w:p w14:paraId="2E419F81" w14:textId="77777777" w:rsidR="00A96B01" w:rsidRPr="005E5E64" w:rsidRDefault="00A96B01" w:rsidP="00A96B01">
            <w:pPr>
              <w:pStyle w:val="Sinespaciado"/>
              <w:rPr>
                <w:sz w:val="20"/>
                <w:szCs w:val="20"/>
              </w:rPr>
            </w:pPr>
            <w:r w:rsidRPr="005E5E64">
              <w:rPr>
                <w:sz w:val="20"/>
                <w:szCs w:val="20"/>
              </w:rPr>
              <w:t>CVE-2023-6671</w:t>
            </w:r>
          </w:p>
        </w:tc>
        <w:tc>
          <w:tcPr>
            <w:tcW w:w="1337" w:type="dxa"/>
            <w:tcBorders>
              <w:top w:val="single" w:sz="4" w:space="0" w:color="auto"/>
            </w:tcBorders>
          </w:tcPr>
          <w:p w14:paraId="2690D8AE" w14:textId="77777777" w:rsidR="00A96B01" w:rsidRPr="005E5E64" w:rsidRDefault="00A96B01" w:rsidP="00A96B01">
            <w:pPr>
              <w:pStyle w:val="Sinespaciado"/>
              <w:rPr>
                <w:sz w:val="20"/>
                <w:szCs w:val="20"/>
              </w:rPr>
            </w:pPr>
            <w:r w:rsidRPr="005E5E64">
              <w:rPr>
                <w:sz w:val="20"/>
                <w:szCs w:val="20"/>
              </w:rPr>
              <w:t>OJS</w:t>
            </w:r>
          </w:p>
        </w:tc>
        <w:tc>
          <w:tcPr>
            <w:tcW w:w="1337" w:type="dxa"/>
            <w:tcBorders>
              <w:top w:val="single" w:sz="4" w:space="0" w:color="auto"/>
            </w:tcBorders>
          </w:tcPr>
          <w:p w14:paraId="1DD54342" w14:textId="77777777" w:rsidR="00A96B01" w:rsidRPr="005E5E64" w:rsidRDefault="00A96B01" w:rsidP="00A96B01">
            <w:pPr>
              <w:pStyle w:val="Sinespaciado"/>
              <w:rPr>
                <w:sz w:val="20"/>
                <w:szCs w:val="20"/>
              </w:rPr>
            </w:pPr>
            <w:r w:rsidRPr="005E5E64">
              <w:rPr>
                <w:sz w:val="20"/>
                <w:szCs w:val="20"/>
              </w:rPr>
              <w:t>CSRF</w:t>
            </w:r>
          </w:p>
        </w:tc>
        <w:tc>
          <w:tcPr>
            <w:tcW w:w="1337" w:type="dxa"/>
            <w:tcBorders>
              <w:top w:val="single" w:sz="4" w:space="0" w:color="auto"/>
            </w:tcBorders>
          </w:tcPr>
          <w:p w14:paraId="19820FB9" w14:textId="77777777" w:rsidR="00A96B01" w:rsidRPr="005E5E64" w:rsidRDefault="00A96B01" w:rsidP="00A96B01">
            <w:pPr>
              <w:pStyle w:val="Sinespaciado"/>
              <w:rPr>
                <w:sz w:val="20"/>
                <w:szCs w:val="20"/>
              </w:rPr>
            </w:pPr>
            <w:r w:rsidRPr="005E5E64">
              <w:rPr>
                <w:sz w:val="20"/>
                <w:szCs w:val="20"/>
              </w:rPr>
              <w:t>CWE-352</w:t>
            </w:r>
          </w:p>
        </w:tc>
        <w:tc>
          <w:tcPr>
            <w:tcW w:w="1337" w:type="dxa"/>
            <w:tcBorders>
              <w:top w:val="single" w:sz="4" w:space="0" w:color="auto"/>
            </w:tcBorders>
          </w:tcPr>
          <w:p w14:paraId="2DA1F065" w14:textId="77777777" w:rsidR="00A96B01" w:rsidRPr="005E5E64" w:rsidRDefault="00A96B01" w:rsidP="00A96B01">
            <w:pPr>
              <w:pStyle w:val="Sinespaciado"/>
              <w:rPr>
                <w:sz w:val="20"/>
                <w:szCs w:val="20"/>
              </w:rPr>
            </w:pPr>
            <w:r w:rsidRPr="005E5E64">
              <w:rPr>
                <w:sz w:val="20"/>
                <w:szCs w:val="20"/>
              </w:rPr>
              <w:t>8.8 (NVD) / 6.3 (INCIBE)</w:t>
            </w:r>
          </w:p>
        </w:tc>
        <w:tc>
          <w:tcPr>
            <w:tcW w:w="1337" w:type="dxa"/>
            <w:tcBorders>
              <w:top w:val="single" w:sz="4" w:space="0" w:color="auto"/>
            </w:tcBorders>
          </w:tcPr>
          <w:p w14:paraId="38901168" w14:textId="77777777" w:rsidR="00A96B01" w:rsidRPr="005E5E64" w:rsidRDefault="00A96B01" w:rsidP="00A96B01">
            <w:pPr>
              <w:pStyle w:val="Sinespaciado"/>
              <w:rPr>
                <w:sz w:val="20"/>
                <w:szCs w:val="20"/>
              </w:rPr>
            </w:pPr>
            <w:r w:rsidRPr="005E5E64">
              <w:rPr>
                <w:sz w:val="20"/>
                <w:szCs w:val="20"/>
              </w:rPr>
              <w:t>High / Medium</w:t>
            </w:r>
          </w:p>
        </w:tc>
        <w:tc>
          <w:tcPr>
            <w:tcW w:w="1337" w:type="dxa"/>
            <w:tcBorders>
              <w:top w:val="single" w:sz="4" w:space="0" w:color="auto"/>
            </w:tcBorders>
          </w:tcPr>
          <w:p w14:paraId="09F89DE6" w14:textId="59A9C2A6" w:rsidR="00A96B01" w:rsidRPr="005E5E64" w:rsidRDefault="00A96B01" w:rsidP="00A96B01">
            <w:pPr>
              <w:pStyle w:val="Sinespaciado"/>
              <w:rPr>
                <w:sz w:val="20"/>
                <w:szCs w:val="20"/>
              </w:rPr>
            </w:pPr>
            <w:r w:rsidRPr="005E5E64">
              <w:rPr>
                <w:sz w:val="20"/>
                <w:szCs w:val="20"/>
              </w:rPr>
              <w:t xml:space="preserve">Aplica </w:t>
            </w:r>
            <w:r w:rsidR="00A0061E">
              <w:rPr>
                <w:sz w:val="20"/>
                <w:szCs w:val="20"/>
              </w:rPr>
              <w:t>-</w:t>
            </w:r>
            <w:r w:rsidRPr="005E5E64">
              <w:rPr>
                <w:sz w:val="20"/>
                <w:szCs w:val="20"/>
              </w:rPr>
              <w:t>confirmada empíricamente</w:t>
            </w:r>
          </w:p>
        </w:tc>
      </w:tr>
      <w:tr w:rsidR="00A96B01" w:rsidRPr="005E5E64" w14:paraId="6C950D4C" w14:textId="77777777" w:rsidTr="00A96B01">
        <w:tc>
          <w:tcPr>
            <w:tcW w:w="1338" w:type="dxa"/>
          </w:tcPr>
          <w:p w14:paraId="7DF6F0DA" w14:textId="77777777" w:rsidR="00A96B01" w:rsidRPr="005E5E64" w:rsidRDefault="00A96B01" w:rsidP="00A96B01">
            <w:pPr>
              <w:pStyle w:val="Sinespaciado"/>
              <w:rPr>
                <w:sz w:val="20"/>
                <w:szCs w:val="20"/>
              </w:rPr>
            </w:pPr>
            <w:r w:rsidRPr="005E5E64">
              <w:rPr>
                <w:sz w:val="20"/>
                <w:szCs w:val="20"/>
              </w:rPr>
              <w:t>CVE-2024-25436</w:t>
            </w:r>
          </w:p>
        </w:tc>
        <w:tc>
          <w:tcPr>
            <w:tcW w:w="1337" w:type="dxa"/>
          </w:tcPr>
          <w:p w14:paraId="0582D628" w14:textId="77777777" w:rsidR="00A96B01" w:rsidRPr="005E5E64" w:rsidRDefault="00A96B01" w:rsidP="00A96B01">
            <w:pPr>
              <w:pStyle w:val="Sinespaciado"/>
              <w:rPr>
                <w:sz w:val="20"/>
                <w:szCs w:val="20"/>
              </w:rPr>
            </w:pPr>
            <w:r w:rsidRPr="005E5E64">
              <w:rPr>
                <w:sz w:val="20"/>
                <w:szCs w:val="20"/>
              </w:rPr>
              <w:t>OJS</w:t>
            </w:r>
          </w:p>
        </w:tc>
        <w:tc>
          <w:tcPr>
            <w:tcW w:w="1337" w:type="dxa"/>
          </w:tcPr>
          <w:p w14:paraId="075E72DC" w14:textId="77777777" w:rsidR="00A96B01" w:rsidRPr="005E5E64" w:rsidRDefault="00A96B01" w:rsidP="00A96B01">
            <w:pPr>
              <w:pStyle w:val="Sinespaciado"/>
              <w:rPr>
                <w:sz w:val="20"/>
                <w:szCs w:val="20"/>
              </w:rPr>
            </w:pPr>
            <w:r w:rsidRPr="005E5E64">
              <w:rPr>
                <w:sz w:val="20"/>
                <w:szCs w:val="20"/>
              </w:rPr>
              <w:t>XSS almacenado</w:t>
            </w:r>
          </w:p>
        </w:tc>
        <w:tc>
          <w:tcPr>
            <w:tcW w:w="1337" w:type="dxa"/>
          </w:tcPr>
          <w:p w14:paraId="4D69097C" w14:textId="77777777" w:rsidR="00A96B01" w:rsidRPr="005E5E64" w:rsidRDefault="00A96B01" w:rsidP="00A96B01">
            <w:pPr>
              <w:pStyle w:val="Sinespaciado"/>
              <w:rPr>
                <w:sz w:val="20"/>
                <w:szCs w:val="20"/>
              </w:rPr>
            </w:pPr>
            <w:r w:rsidRPr="005E5E64">
              <w:rPr>
                <w:sz w:val="20"/>
                <w:szCs w:val="20"/>
              </w:rPr>
              <w:t>CWE-79</w:t>
            </w:r>
          </w:p>
        </w:tc>
        <w:tc>
          <w:tcPr>
            <w:tcW w:w="1337" w:type="dxa"/>
          </w:tcPr>
          <w:p w14:paraId="519DB04A" w14:textId="77777777" w:rsidR="00A96B01" w:rsidRPr="005E5E64" w:rsidRDefault="00A96B01" w:rsidP="00A96B01">
            <w:pPr>
              <w:pStyle w:val="Sinespaciado"/>
              <w:rPr>
                <w:sz w:val="20"/>
                <w:szCs w:val="20"/>
              </w:rPr>
            </w:pPr>
            <w:r w:rsidRPr="005E5E64">
              <w:rPr>
                <w:sz w:val="20"/>
                <w:szCs w:val="20"/>
              </w:rPr>
              <w:t>6.1</w:t>
            </w:r>
          </w:p>
        </w:tc>
        <w:tc>
          <w:tcPr>
            <w:tcW w:w="1337" w:type="dxa"/>
          </w:tcPr>
          <w:p w14:paraId="2980E359" w14:textId="77777777" w:rsidR="00A96B01" w:rsidRPr="005E5E64" w:rsidRDefault="00A96B01" w:rsidP="00A96B01">
            <w:pPr>
              <w:pStyle w:val="Sinespaciado"/>
              <w:rPr>
                <w:sz w:val="20"/>
                <w:szCs w:val="20"/>
              </w:rPr>
            </w:pPr>
            <w:r w:rsidRPr="005E5E64">
              <w:rPr>
                <w:sz w:val="20"/>
                <w:szCs w:val="20"/>
              </w:rPr>
              <w:t>Medium</w:t>
            </w:r>
          </w:p>
        </w:tc>
        <w:tc>
          <w:tcPr>
            <w:tcW w:w="1337" w:type="dxa"/>
          </w:tcPr>
          <w:p w14:paraId="509E865A" w14:textId="4E5623D7" w:rsidR="00A96B01" w:rsidRPr="005E5E64" w:rsidRDefault="00A96B01" w:rsidP="00A96B01">
            <w:pPr>
              <w:pStyle w:val="Sinespaciado"/>
              <w:rPr>
                <w:sz w:val="20"/>
                <w:szCs w:val="20"/>
              </w:rPr>
            </w:pPr>
            <w:r w:rsidRPr="005E5E64">
              <w:rPr>
                <w:sz w:val="20"/>
                <w:szCs w:val="20"/>
              </w:rPr>
              <w:t xml:space="preserve">Aplica </w:t>
            </w:r>
            <w:r w:rsidR="00A0061E">
              <w:rPr>
                <w:sz w:val="20"/>
                <w:szCs w:val="20"/>
              </w:rPr>
              <w:t>-</w:t>
            </w:r>
            <w:r w:rsidRPr="005E5E64">
              <w:rPr>
                <w:sz w:val="20"/>
                <w:szCs w:val="20"/>
              </w:rPr>
              <w:t xml:space="preserve"> confirmada empíricamente</w:t>
            </w:r>
          </w:p>
        </w:tc>
      </w:tr>
      <w:tr w:rsidR="00A96B01" w:rsidRPr="005E5E64" w14:paraId="3BC0FD16" w14:textId="77777777" w:rsidTr="00A96B01">
        <w:tc>
          <w:tcPr>
            <w:tcW w:w="1338" w:type="dxa"/>
          </w:tcPr>
          <w:p w14:paraId="2D2C1E50" w14:textId="77777777" w:rsidR="00A96B01" w:rsidRPr="005E5E64" w:rsidRDefault="00A96B01" w:rsidP="00A96B01">
            <w:pPr>
              <w:pStyle w:val="Sinespaciado"/>
              <w:rPr>
                <w:sz w:val="20"/>
                <w:szCs w:val="20"/>
              </w:rPr>
            </w:pPr>
            <w:r w:rsidRPr="005E5E64">
              <w:rPr>
                <w:sz w:val="20"/>
                <w:szCs w:val="20"/>
              </w:rPr>
              <w:t>CVE-2023-5626</w:t>
            </w:r>
          </w:p>
        </w:tc>
        <w:tc>
          <w:tcPr>
            <w:tcW w:w="1337" w:type="dxa"/>
          </w:tcPr>
          <w:p w14:paraId="1093A6BA" w14:textId="77777777" w:rsidR="00A96B01" w:rsidRPr="005E5E64" w:rsidRDefault="00A96B01" w:rsidP="00A96B01">
            <w:pPr>
              <w:pStyle w:val="Sinespaciado"/>
              <w:rPr>
                <w:sz w:val="20"/>
                <w:szCs w:val="20"/>
              </w:rPr>
            </w:pPr>
            <w:r w:rsidRPr="005E5E64">
              <w:rPr>
                <w:sz w:val="20"/>
                <w:szCs w:val="20"/>
              </w:rPr>
              <w:t>OJS</w:t>
            </w:r>
          </w:p>
        </w:tc>
        <w:tc>
          <w:tcPr>
            <w:tcW w:w="1337" w:type="dxa"/>
          </w:tcPr>
          <w:p w14:paraId="0B6FE1E0" w14:textId="77777777" w:rsidR="00A96B01" w:rsidRPr="005E5E64" w:rsidRDefault="00A96B01" w:rsidP="00A96B01">
            <w:pPr>
              <w:pStyle w:val="Sinespaciado"/>
              <w:rPr>
                <w:sz w:val="20"/>
                <w:szCs w:val="20"/>
              </w:rPr>
            </w:pPr>
            <w:r w:rsidRPr="005E5E64">
              <w:rPr>
                <w:sz w:val="20"/>
                <w:szCs w:val="20"/>
              </w:rPr>
              <w:t>CSRF</w:t>
            </w:r>
          </w:p>
        </w:tc>
        <w:tc>
          <w:tcPr>
            <w:tcW w:w="1337" w:type="dxa"/>
          </w:tcPr>
          <w:p w14:paraId="5E38F99B" w14:textId="77777777" w:rsidR="00A96B01" w:rsidRPr="005E5E64" w:rsidRDefault="00A96B01" w:rsidP="00A96B01">
            <w:pPr>
              <w:pStyle w:val="Sinespaciado"/>
              <w:rPr>
                <w:sz w:val="20"/>
                <w:szCs w:val="20"/>
              </w:rPr>
            </w:pPr>
            <w:r w:rsidRPr="005E5E64">
              <w:rPr>
                <w:sz w:val="20"/>
                <w:szCs w:val="20"/>
              </w:rPr>
              <w:t>CWE-352</w:t>
            </w:r>
          </w:p>
        </w:tc>
        <w:tc>
          <w:tcPr>
            <w:tcW w:w="1337" w:type="dxa"/>
          </w:tcPr>
          <w:p w14:paraId="4ACCA818" w14:textId="77777777" w:rsidR="00A96B01" w:rsidRPr="005E5E64" w:rsidRDefault="00A96B01" w:rsidP="00A96B01">
            <w:pPr>
              <w:pStyle w:val="Sinespaciado"/>
              <w:rPr>
                <w:sz w:val="20"/>
                <w:szCs w:val="20"/>
              </w:rPr>
            </w:pPr>
            <w:r w:rsidRPr="005E5E64">
              <w:rPr>
                <w:sz w:val="20"/>
                <w:szCs w:val="20"/>
              </w:rPr>
              <w:t>8.8</w:t>
            </w:r>
          </w:p>
        </w:tc>
        <w:tc>
          <w:tcPr>
            <w:tcW w:w="1337" w:type="dxa"/>
          </w:tcPr>
          <w:p w14:paraId="28597311" w14:textId="77777777" w:rsidR="00A96B01" w:rsidRPr="005E5E64" w:rsidRDefault="00A96B01" w:rsidP="00A96B01">
            <w:pPr>
              <w:pStyle w:val="Sinespaciado"/>
              <w:rPr>
                <w:sz w:val="20"/>
                <w:szCs w:val="20"/>
              </w:rPr>
            </w:pPr>
            <w:r w:rsidRPr="005E5E64">
              <w:rPr>
                <w:sz w:val="20"/>
                <w:szCs w:val="20"/>
              </w:rPr>
              <w:t>High</w:t>
            </w:r>
          </w:p>
        </w:tc>
        <w:tc>
          <w:tcPr>
            <w:tcW w:w="1337" w:type="dxa"/>
          </w:tcPr>
          <w:p w14:paraId="0AA01E8F" w14:textId="77777777" w:rsidR="00A96B01" w:rsidRPr="005E5E64" w:rsidRDefault="00A96B01" w:rsidP="00A96B01">
            <w:pPr>
              <w:pStyle w:val="Sinespaciado"/>
              <w:rPr>
                <w:sz w:val="20"/>
                <w:szCs w:val="20"/>
              </w:rPr>
            </w:pPr>
            <w:r w:rsidRPr="005E5E64">
              <w:rPr>
                <w:sz w:val="20"/>
                <w:szCs w:val="20"/>
              </w:rPr>
              <w:t>No aplica (corregida &lt; 3.3.0-16)</w:t>
            </w:r>
          </w:p>
        </w:tc>
      </w:tr>
      <w:tr w:rsidR="00A96B01" w:rsidRPr="005E5E64" w14:paraId="558CA226" w14:textId="77777777" w:rsidTr="00A96B01">
        <w:tc>
          <w:tcPr>
            <w:tcW w:w="1338" w:type="dxa"/>
          </w:tcPr>
          <w:p w14:paraId="75BA041D" w14:textId="77777777" w:rsidR="00A96B01" w:rsidRPr="005E5E64" w:rsidRDefault="00A96B01" w:rsidP="00A96B01">
            <w:pPr>
              <w:pStyle w:val="Sinespaciado"/>
              <w:rPr>
                <w:sz w:val="20"/>
                <w:szCs w:val="20"/>
              </w:rPr>
            </w:pPr>
            <w:r w:rsidRPr="005E5E64">
              <w:rPr>
                <w:sz w:val="20"/>
                <w:szCs w:val="20"/>
              </w:rPr>
              <w:t>CVE-2023-5894</w:t>
            </w:r>
          </w:p>
        </w:tc>
        <w:tc>
          <w:tcPr>
            <w:tcW w:w="1337" w:type="dxa"/>
          </w:tcPr>
          <w:p w14:paraId="7C3CC58A" w14:textId="77777777" w:rsidR="00A96B01" w:rsidRPr="005E5E64" w:rsidRDefault="00A96B01" w:rsidP="00A96B01">
            <w:pPr>
              <w:pStyle w:val="Sinespaciado"/>
              <w:rPr>
                <w:sz w:val="20"/>
                <w:szCs w:val="20"/>
              </w:rPr>
            </w:pPr>
            <w:r w:rsidRPr="005E5E64">
              <w:rPr>
                <w:sz w:val="20"/>
                <w:szCs w:val="20"/>
              </w:rPr>
              <w:t>OJS</w:t>
            </w:r>
          </w:p>
        </w:tc>
        <w:tc>
          <w:tcPr>
            <w:tcW w:w="1337" w:type="dxa"/>
          </w:tcPr>
          <w:p w14:paraId="42734CD3" w14:textId="77777777" w:rsidR="00A96B01" w:rsidRPr="005E5E64" w:rsidRDefault="00A96B01" w:rsidP="00A96B01">
            <w:pPr>
              <w:pStyle w:val="Sinespaciado"/>
              <w:rPr>
                <w:sz w:val="20"/>
                <w:szCs w:val="20"/>
              </w:rPr>
            </w:pPr>
            <w:r w:rsidRPr="005E5E64">
              <w:rPr>
                <w:sz w:val="20"/>
                <w:szCs w:val="20"/>
              </w:rPr>
              <w:t>XSS</w:t>
            </w:r>
          </w:p>
        </w:tc>
        <w:tc>
          <w:tcPr>
            <w:tcW w:w="1337" w:type="dxa"/>
          </w:tcPr>
          <w:p w14:paraId="5C5700B5" w14:textId="77777777" w:rsidR="00A96B01" w:rsidRPr="005E5E64" w:rsidRDefault="00A96B01" w:rsidP="00A96B01">
            <w:pPr>
              <w:pStyle w:val="Sinespaciado"/>
              <w:rPr>
                <w:sz w:val="20"/>
                <w:szCs w:val="20"/>
              </w:rPr>
            </w:pPr>
            <w:r w:rsidRPr="005E5E64">
              <w:rPr>
                <w:sz w:val="20"/>
                <w:szCs w:val="20"/>
              </w:rPr>
              <w:t>CWE-79</w:t>
            </w:r>
          </w:p>
        </w:tc>
        <w:tc>
          <w:tcPr>
            <w:tcW w:w="1337" w:type="dxa"/>
          </w:tcPr>
          <w:p w14:paraId="10C31997" w14:textId="77777777" w:rsidR="00A96B01" w:rsidRPr="005E5E64" w:rsidRDefault="00A96B01" w:rsidP="00A96B01">
            <w:pPr>
              <w:pStyle w:val="Sinespaciado"/>
              <w:rPr>
                <w:sz w:val="20"/>
                <w:szCs w:val="20"/>
              </w:rPr>
            </w:pPr>
            <w:r w:rsidRPr="005E5E64">
              <w:rPr>
                <w:sz w:val="20"/>
                <w:szCs w:val="20"/>
              </w:rPr>
              <w:t>5.4</w:t>
            </w:r>
          </w:p>
        </w:tc>
        <w:tc>
          <w:tcPr>
            <w:tcW w:w="1337" w:type="dxa"/>
          </w:tcPr>
          <w:p w14:paraId="27B976AC" w14:textId="77777777" w:rsidR="00A96B01" w:rsidRPr="005E5E64" w:rsidRDefault="00A96B01" w:rsidP="00A96B01">
            <w:pPr>
              <w:pStyle w:val="Sinespaciado"/>
              <w:rPr>
                <w:sz w:val="20"/>
                <w:szCs w:val="20"/>
              </w:rPr>
            </w:pPr>
            <w:r w:rsidRPr="005E5E64">
              <w:rPr>
                <w:sz w:val="20"/>
                <w:szCs w:val="20"/>
              </w:rPr>
              <w:t>Medium</w:t>
            </w:r>
          </w:p>
        </w:tc>
        <w:tc>
          <w:tcPr>
            <w:tcW w:w="1337" w:type="dxa"/>
          </w:tcPr>
          <w:p w14:paraId="110A5C89" w14:textId="77777777" w:rsidR="00A96B01" w:rsidRPr="005E5E64" w:rsidRDefault="00A96B01" w:rsidP="00A96B01">
            <w:pPr>
              <w:pStyle w:val="Sinespaciado"/>
              <w:rPr>
                <w:sz w:val="20"/>
                <w:szCs w:val="20"/>
              </w:rPr>
            </w:pPr>
            <w:r w:rsidRPr="005E5E64">
              <w:rPr>
                <w:sz w:val="20"/>
                <w:szCs w:val="20"/>
              </w:rPr>
              <w:t>No aplica (corregida &lt; 3.3.0-16)</w:t>
            </w:r>
          </w:p>
        </w:tc>
      </w:tr>
      <w:tr w:rsidR="00A96B01" w:rsidRPr="005E5E64" w14:paraId="35D710CB" w14:textId="77777777" w:rsidTr="00A96B01">
        <w:tc>
          <w:tcPr>
            <w:tcW w:w="1338" w:type="dxa"/>
          </w:tcPr>
          <w:p w14:paraId="0F35765B" w14:textId="77777777" w:rsidR="00A96B01" w:rsidRPr="005E5E64" w:rsidRDefault="00A96B01" w:rsidP="00A96B01">
            <w:pPr>
              <w:pStyle w:val="Sinespaciado"/>
              <w:rPr>
                <w:sz w:val="20"/>
                <w:szCs w:val="20"/>
              </w:rPr>
            </w:pPr>
            <w:r w:rsidRPr="005E5E64">
              <w:rPr>
                <w:sz w:val="20"/>
                <w:szCs w:val="20"/>
              </w:rPr>
              <w:t>CVE-2024-24511</w:t>
            </w:r>
          </w:p>
        </w:tc>
        <w:tc>
          <w:tcPr>
            <w:tcW w:w="1337" w:type="dxa"/>
          </w:tcPr>
          <w:p w14:paraId="110A3FC7" w14:textId="77777777" w:rsidR="00A96B01" w:rsidRPr="005E5E64" w:rsidRDefault="00A96B01" w:rsidP="00A96B01">
            <w:pPr>
              <w:pStyle w:val="Sinespaciado"/>
              <w:rPr>
                <w:sz w:val="20"/>
                <w:szCs w:val="20"/>
              </w:rPr>
            </w:pPr>
            <w:r w:rsidRPr="005E5E64">
              <w:rPr>
                <w:sz w:val="20"/>
                <w:szCs w:val="20"/>
              </w:rPr>
              <w:t>OJS</w:t>
            </w:r>
          </w:p>
        </w:tc>
        <w:tc>
          <w:tcPr>
            <w:tcW w:w="1337" w:type="dxa"/>
          </w:tcPr>
          <w:p w14:paraId="513D6A0B" w14:textId="77777777" w:rsidR="00A96B01" w:rsidRPr="005E5E64" w:rsidRDefault="00A96B01" w:rsidP="00A96B01">
            <w:pPr>
              <w:pStyle w:val="Sinespaciado"/>
              <w:rPr>
                <w:sz w:val="20"/>
                <w:szCs w:val="20"/>
              </w:rPr>
            </w:pPr>
            <w:r w:rsidRPr="005E5E64">
              <w:rPr>
                <w:sz w:val="20"/>
                <w:szCs w:val="20"/>
              </w:rPr>
              <w:t>XSS</w:t>
            </w:r>
          </w:p>
        </w:tc>
        <w:tc>
          <w:tcPr>
            <w:tcW w:w="1337" w:type="dxa"/>
          </w:tcPr>
          <w:p w14:paraId="3C19FD0A" w14:textId="77777777" w:rsidR="00A96B01" w:rsidRPr="005E5E64" w:rsidRDefault="00A96B01" w:rsidP="00A96B01">
            <w:pPr>
              <w:pStyle w:val="Sinespaciado"/>
              <w:rPr>
                <w:sz w:val="20"/>
                <w:szCs w:val="20"/>
              </w:rPr>
            </w:pPr>
            <w:r w:rsidRPr="005E5E64">
              <w:rPr>
                <w:sz w:val="20"/>
                <w:szCs w:val="20"/>
              </w:rPr>
              <w:t>CWE-79</w:t>
            </w:r>
          </w:p>
        </w:tc>
        <w:tc>
          <w:tcPr>
            <w:tcW w:w="1337" w:type="dxa"/>
          </w:tcPr>
          <w:p w14:paraId="4C0D48B1" w14:textId="77777777" w:rsidR="00A96B01" w:rsidRPr="005E5E64" w:rsidRDefault="00A96B01" w:rsidP="00A96B01">
            <w:pPr>
              <w:pStyle w:val="Sinespaciado"/>
              <w:rPr>
                <w:sz w:val="20"/>
                <w:szCs w:val="20"/>
              </w:rPr>
            </w:pPr>
            <w:r w:rsidRPr="005E5E64">
              <w:rPr>
                <w:sz w:val="20"/>
                <w:szCs w:val="20"/>
              </w:rPr>
              <w:t>6.1</w:t>
            </w:r>
          </w:p>
        </w:tc>
        <w:tc>
          <w:tcPr>
            <w:tcW w:w="1337" w:type="dxa"/>
          </w:tcPr>
          <w:p w14:paraId="34AA82E5" w14:textId="77777777" w:rsidR="00A96B01" w:rsidRPr="005E5E64" w:rsidRDefault="00A96B01" w:rsidP="00A96B01">
            <w:pPr>
              <w:pStyle w:val="Sinespaciado"/>
              <w:rPr>
                <w:sz w:val="20"/>
                <w:szCs w:val="20"/>
              </w:rPr>
            </w:pPr>
            <w:r w:rsidRPr="005E5E64">
              <w:rPr>
                <w:sz w:val="20"/>
                <w:szCs w:val="20"/>
              </w:rPr>
              <w:t>Medium</w:t>
            </w:r>
          </w:p>
        </w:tc>
        <w:tc>
          <w:tcPr>
            <w:tcW w:w="1337" w:type="dxa"/>
          </w:tcPr>
          <w:p w14:paraId="0C6C67CE" w14:textId="77777777" w:rsidR="00A96B01" w:rsidRPr="005E5E64" w:rsidRDefault="00A96B01" w:rsidP="00A96B01">
            <w:pPr>
              <w:pStyle w:val="Sinespaciado"/>
              <w:rPr>
                <w:sz w:val="20"/>
                <w:szCs w:val="20"/>
              </w:rPr>
            </w:pPr>
            <w:r w:rsidRPr="005E5E64">
              <w:rPr>
                <w:sz w:val="20"/>
                <w:szCs w:val="20"/>
              </w:rPr>
              <w:t>No aplica (rama 3.4)</w:t>
            </w:r>
          </w:p>
        </w:tc>
      </w:tr>
      <w:tr w:rsidR="00A96B01" w:rsidRPr="005E5E64" w14:paraId="2F24F72C" w14:textId="77777777" w:rsidTr="00A96B01">
        <w:tc>
          <w:tcPr>
            <w:tcW w:w="1338" w:type="dxa"/>
          </w:tcPr>
          <w:p w14:paraId="16AC161D" w14:textId="77777777" w:rsidR="00A96B01" w:rsidRPr="005E5E64" w:rsidRDefault="00A96B01" w:rsidP="00A96B01">
            <w:pPr>
              <w:pStyle w:val="Sinespaciado"/>
              <w:rPr>
                <w:sz w:val="20"/>
                <w:szCs w:val="20"/>
              </w:rPr>
            </w:pPr>
            <w:r w:rsidRPr="005E5E64">
              <w:rPr>
                <w:sz w:val="20"/>
                <w:szCs w:val="20"/>
              </w:rPr>
              <w:t>CVE-2022-31193</w:t>
            </w:r>
          </w:p>
        </w:tc>
        <w:tc>
          <w:tcPr>
            <w:tcW w:w="1337" w:type="dxa"/>
          </w:tcPr>
          <w:p w14:paraId="62D90C42" w14:textId="77777777" w:rsidR="00A96B01" w:rsidRPr="005E5E64" w:rsidRDefault="00A96B01" w:rsidP="00A96B01">
            <w:pPr>
              <w:pStyle w:val="Sinespaciado"/>
              <w:rPr>
                <w:sz w:val="20"/>
                <w:szCs w:val="20"/>
              </w:rPr>
            </w:pPr>
            <w:r w:rsidRPr="005E5E64">
              <w:rPr>
                <w:sz w:val="20"/>
                <w:szCs w:val="20"/>
              </w:rPr>
              <w:t>DSpace</w:t>
            </w:r>
          </w:p>
        </w:tc>
        <w:tc>
          <w:tcPr>
            <w:tcW w:w="1337" w:type="dxa"/>
          </w:tcPr>
          <w:p w14:paraId="3BB822E2" w14:textId="77777777" w:rsidR="00A96B01" w:rsidRPr="005E5E64" w:rsidRDefault="00A96B01" w:rsidP="00A96B01">
            <w:pPr>
              <w:pStyle w:val="Sinespaciado"/>
              <w:rPr>
                <w:sz w:val="20"/>
                <w:szCs w:val="20"/>
              </w:rPr>
            </w:pPr>
            <w:r w:rsidRPr="005E5E64">
              <w:rPr>
                <w:sz w:val="20"/>
                <w:szCs w:val="20"/>
              </w:rPr>
              <w:t>Open Redirect</w:t>
            </w:r>
          </w:p>
        </w:tc>
        <w:tc>
          <w:tcPr>
            <w:tcW w:w="1337" w:type="dxa"/>
          </w:tcPr>
          <w:p w14:paraId="221F08F4" w14:textId="77777777" w:rsidR="00A96B01" w:rsidRPr="005E5E64" w:rsidRDefault="00A96B01" w:rsidP="00A96B01">
            <w:pPr>
              <w:pStyle w:val="Sinespaciado"/>
              <w:rPr>
                <w:sz w:val="20"/>
                <w:szCs w:val="20"/>
              </w:rPr>
            </w:pPr>
            <w:r w:rsidRPr="005E5E64">
              <w:rPr>
                <w:sz w:val="20"/>
                <w:szCs w:val="20"/>
              </w:rPr>
              <w:t>CWE-601</w:t>
            </w:r>
          </w:p>
        </w:tc>
        <w:tc>
          <w:tcPr>
            <w:tcW w:w="1337" w:type="dxa"/>
          </w:tcPr>
          <w:p w14:paraId="1BA72BBF" w14:textId="77777777" w:rsidR="00A96B01" w:rsidRPr="005E5E64" w:rsidRDefault="00A96B01" w:rsidP="00A96B01">
            <w:pPr>
              <w:pStyle w:val="Sinespaciado"/>
              <w:rPr>
                <w:sz w:val="20"/>
                <w:szCs w:val="20"/>
              </w:rPr>
            </w:pPr>
            <w:r w:rsidRPr="005E5E64">
              <w:rPr>
                <w:sz w:val="20"/>
                <w:szCs w:val="20"/>
              </w:rPr>
              <w:t>6.1</w:t>
            </w:r>
          </w:p>
        </w:tc>
        <w:tc>
          <w:tcPr>
            <w:tcW w:w="1337" w:type="dxa"/>
          </w:tcPr>
          <w:p w14:paraId="7745ED37" w14:textId="77777777" w:rsidR="00A96B01" w:rsidRPr="005E5E64" w:rsidRDefault="00A96B01" w:rsidP="00A96B01">
            <w:pPr>
              <w:pStyle w:val="Sinespaciado"/>
              <w:rPr>
                <w:sz w:val="20"/>
                <w:szCs w:val="20"/>
              </w:rPr>
            </w:pPr>
            <w:r w:rsidRPr="005E5E64">
              <w:rPr>
                <w:sz w:val="20"/>
                <w:szCs w:val="20"/>
              </w:rPr>
              <w:t>Medium</w:t>
            </w:r>
          </w:p>
        </w:tc>
        <w:tc>
          <w:tcPr>
            <w:tcW w:w="1337" w:type="dxa"/>
          </w:tcPr>
          <w:p w14:paraId="50AA44F9" w14:textId="77777777" w:rsidR="00A96B01" w:rsidRPr="005E5E64" w:rsidRDefault="00A96B01" w:rsidP="00A96B01">
            <w:pPr>
              <w:pStyle w:val="Sinespaciado"/>
              <w:rPr>
                <w:sz w:val="20"/>
                <w:szCs w:val="20"/>
              </w:rPr>
            </w:pPr>
            <w:r w:rsidRPr="005E5E64">
              <w:rPr>
                <w:sz w:val="20"/>
                <w:szCs w:val="20"/>
              </w:rPr>
              <w:t>No aplica (7.x no usa JSPUI)</w:t>
            </w:r>
          </w:p>
        </w:tc>
      </w:tr>
      <w:tr w:rsidR="00A96B01" w:rsidRPr="005E5E64" w14:paraId="44B0B71A" w14:textId="77777777" w:rsidTr="00A96B01">
        <w:tc>
          <w:tcPr>
            <w:tcW w:w="1338" w:type="dxa"/>
          </w:tcPr>
          <w:p w14:paraId="382B3059" w14:textId="77777777" w:rsidR="00A96B01" w:rsidRPr="005E5E64" w:rsidRDefault="00A96B01" w:rsidP="00A96B01">
            <w:pPr>
              <w:pStyle w:val="Sinespaciado"/>
              <w:rPr>
                <w:sz w:val="20"/>
                <w:szCs w:val="20"/>
              </w:rPr>
            </w:pPr>
            <w:r w:rsidRPr="005E5E64">
              <w:rPr>
                <w:sz w:val="20"/>
                <w:szCs w:val="20"/>
              </w:rPr>
              <w:t>CVE-2022-31194</w:t>
            </w:r>
          </w:p>
        </w:tc>
        <w:tc>
          <w:tcPr>
            <w:tcW w:w="1337" w:type="dxa"/>
          </w:tcPr>
          <w:p w14:paraId="6BEA863E" w14:textId="77777777" w:rsidR="00A96B01" w:rsidRPr="005E5E64" w:rsidRDefault="00A96B01" w:rsidP="00A96B01">
            <w:pPr>
              <w:pStyle w:val="Sinespaciado"/>
              <w:rPr>
                <w:sz w:val="20"/>
                <w:szCs w:val="20"/>
              </w:rPr>
            </w:pPr>
            <w:r w:rsidRPr="005E5E64">
              <w:rPr>
                <w:sz w:val="20"/>
                <w:szCs w:val="20"/>
              </w:rPr>
              <w:t>DSpace</w:t>
            </w:r>
          </w:p>
        </w:tc>
        <w:tc>
          <w:tcPr>
            <w:tcW w:w="1337" w:type="dxa"/>
          </w:tcPr>
          <w:p w14:paraId="1F2CF668" w14:textId="77777777" w:rsidR="00A96B01" w:rsidRPr="005E5E64" w:rsidRDefault="00A96B01" w:rsidP="00A96B01">
            <w:pPr>
              <w:pStyle w:val="Sinespaciado"/>
              <w:rPr>
                <w:sz w:val="20"/>
                <w:szCs w:val="20"/>
              </w:rPr>
            </w:pPr>
            <w:r w:rsidRPr="005E5E64">
              <w:rPr>
                <w:sz w:val="20"/>
                <w:szCs w:val="20"/>
              </w:rPr>
              <w:t>Path Traversal</w:t>
            </w:r>
          </w:p>
        </w:tc>
        <w:tc>
          <w:tcPr>
            <w:tcW w:w="1337" w:type="dxa"/>
          </w:tcPr>
          <w:p w14:paraId="1AF5AD41" w14:textId="77777777" w:rsidR="00A96B01" w:rsidRPr="005E5E64" w:rsidRDefault="00A96B01" w:rsidP="00A96B01">
            <w:pPr>
              <w:pStyle w:val="Sinespaciado"/>
              <w:rPr>
                <w:sz w:val="20"/>
                <w:szCs w:val="20"/>
              </w:rPr>
            </w:pPr>
            <w:r w:rsidRPr="005E5E64">
              <w:rPr>
                <w:sz w:val="20"/>
                <w:szCs w:val="20"/>
              </w:rPr>
              <w:t>CWE-22</w:t>
            </w:r>
          </w:p>
        </w:tc>
        <w:tc>
          <w:tcPr>
            <w:tcW w:w="1337" w:type="dxa"/>
          </w:tcPr>
          <w:p w14:paraId="5E04564D" w14:textId="77777777" w:rsidR="00A96B01" w:rsidRPr="005E5E64" w:rsidRDefault="00A96B01" w:rsidP="00A96B01">
            <w:pPr>
              <w:pStyle w:val="Sinespaciado"/>
              <w:rPr>
                <w:sz w:val="20"/>
                <w:szCs w:val="20"/>
              </w:rPr>
            </w:pPr>
            <w:r w:rsidRPr="005E5E64">
              <w:rPr>
                <w:sz w:val="20"/>
                <w:szCs w:val="20"/>
              </w:rPr>
              <w:t>7.2</w:t>
            </w:r>
          </w:p>
        </w:tc>
        <w:tc>
          <w:tcPr>
            <w:tcW w:w="1337" w:type="dxa"/>
          </w:tcPr>
          <w:p w14:paraId="676FB0F2" w14:textId="77777777" w:rsidR="00A96B01" w:rsidRPr="005E5E64" w:rsidRDefault="00A96B01" w:rsidP="00A96B01">
            <w:pPr>
              <w:pStyle w:val="Sinespaciado"/>
              <w:rPr>
                <w:sz w:val="20"/>
                <w:szCs w:val="20"/>
              </w:rPr>
            </w:pPr>
            <w:r w:rsidRPr="005E5E64">
              <w:rPr>
                <w:sz w:val="20"/>
                <w:szCs w:val="20"/>
              </w:rPr>
              <w:t>High</w:t>
            </w:r>
          </w:p>
        </w:tc>
        <w:tc>
          <w:tcPr>
            <w:tcW w:w="1337" w:type="dxa"/>
          </w:tcPr>
          <w:p w14:paraId="42E4201C" w14:textId="77777777" w:rsidR="00A96B01" w:rsidRPr="005E5E64" w:rsidRDefault="00A96B01" w:rsidP="00A96B01">
            <w:pPr>
              <w:pStyle w:val="Sinespaciado"/>
              <w:rPr>
                <w:sz w:val="20"/>
                <w:szCs w:val="20"/>
              </w:rPr>
            </w:pPr>
            <w:r w:rsidRPr="005E5E64">
              <w:rPr>
                <w:sz w:val="20"/>
                <w:szCs w:val="20"/>
              </w:rPr>
              <w:t>No aplica (7.x no usa JSPUI)</w:t>
            </w:r>
          </w:p>
        </w:tc>
      </w:tr>
    </w:tbl>
    <w:p w14:paraId="5B6A978A" w14:textId="77777777" w:rsidR="00156C62" w:rsidRPr="00345A54" w:rsidRDefault="00156C62">
      <w:pPr>
        <w:rPr>
          <w:rFonts w:ascii="Arial" w:hAnsi="Arial" w:cs="Arial"/>
        </w:rPr>
      </w:pPr>
    </w:p>
    <w:p w14:paraId="3E5D60A6" w14:textId="6EC5831D" w:rsidR="00651A7D" w:rsidRDefault="007E67A8" w:rsidP="005E5E64">
      <w:pPr>
        <w:rPr>
          <w:lang w:val="en-US"/>
        </w:rPr>
      </w:pPr>
      <w:r w:rsidRPr="00345A54">
        <w:rPr>
          <w:rFonts w:ascii="Arial" w:hAnsi="Arial" w:cs="Arial"/>
          <w:i/>
          <w:iCs/>
          <w:sz w:val="20"/>
          <w:szCs w:val="20"/>
        </w:rPr>
        <w:t xml:space="preserve">Nota. </w:t>
      </w:r>
      <w:r w:rsidR="005E5E64">
        <w:rPr>
          <w:i/>
          <w:iCs/>
        </w:rPr>
        <w:t xml:space="preserve">La divergencia de CVSS en CVE-2023-6671 refleja las distintas valoraciones del NVD y del INCIBE sobre el impacto del vector. </w:t>
      </w:r>
      <w:r w:rsidR="005E5E64" w:rsidRPr="00C12673">
        <w:rPr>
          <w:i/>
          <w:iCs/>
          <w:lang w:val="en-US"/>
        </w:rPr>
        <w:t xml:space="preserve">Datos verificados en NVD (National Institute of </w:t>
      </w:r>
      <w:r w:rsidR="005E5E64" w:rsidRPr="00C12673">
        <w:rPr>
          <w:i/>
          <w:iCs/>
          <w:lang w:val="en-US"/>
        </w:rPr>
        <w:lastRenderedPageBreak/>
        <w:t>Standards and Technology, 2023) e INCIBE (2023). CVSS v3.1 según Forum of Incident Response and Security Teams (2019).</w:t>
      </w:r>
    </w:p>
    <w:p w14:paraId="08FB124F" w14:textId="77777777" w:rsidR="005E5E64" w:rsidRPr="005E5E64" w:rsidRDefault="005E5E64" w:rsidP="005E5E64">
      <w:pPr>
        <w:rPr>
          <w:lang w:val="en-US"/>
        </w:rPr>
      </w:pPr>
    </w:p>
    <w:p w14:paraId="5B6A978D" w14:textId="7AD548C2" w:rsidR="00156C62" w:rsidRPr="00345A54" w:rsidRDefault="007E67A8" w:rsidP="00C26D45">
      <w:pPr>
        <w:pStyle w:val="Ttulo2"/>
        <w:rPr>
          <w:rFonts w:ascii="Arial" w:hAnsi="Arial" w:cs="Arial"/>
        </w:rPr>
      </w:pPr>
      <w:r w:rsidRPr="00345A54">
        <w:rPr>
          <w:rFonts w:ascii="Arial" w:hAnsi="Arial" w:cs="Arial"/>
        </w:rPr>
        <w:t>Reconocimiento Pasivo</w:t>
      </w:r>
    </w:p>
    <w:p w14:paraId="5B6A978E" w14:textId="77777777" w:rsidR="00156C62" w:rsidRPr="00345A54" w:rsidRDefault="00156C62">
      <w:pPr>
        <w:rPr>
          <w:rFonts w:ascii="Arial" w:hAnsi="Arial" w:cs="Arial"/>
        </w:rPr>
      </w:pPr>
    </w:p>
    <w:p w14:paraId="05E0AFA0" w14:textId="1163BD33" w:rsidR="00CE3605" w:rsidRPr="00345A54" w:rsidRDefault="00D10437" w:rsidP="00BD7243">
      <w:pPr>
        <w:pStyle w:val="APA7"/>
        <w:rPr>
          <w:rFonts w:cs="Arial"/>
        </w:rPr>
      </w:pPr>
      <w:r>
        <w:t>El análisis de cabeceras HTTP reveló una diferencia estructural inmediata. OJS expuso la versión del servidor web (Apache/2.4.62) y del intérprete PHP (PHP/8.1.27) en las cabeceras de respuesta; su cookie de sesión careció del atributo Secure y empleó SameSite=Lax, que ofrece protección CSRF parcial. El backend de DSpace no reveló información de versión en sus cabeceras, implementó doble token XSRF y configuró Cache-Control: no-store. No obstante, el endpoint raíz de su API REST sí expone la versión exacta del software en el cuerpo de la respuesta (dspaceVersion: DSpace 7.6.7-SNAPSHOT), lo que indica, además, que la instancia ejecuta una build de desarrollo. Ambas plataformas revelan su versión, por vías distintas, y ninguna implementó Content Security Policy en ninguna de sus capas.</w:t>
      </w:r>
    </w:p>
    <w:p w14:paraId="5B6A9790" w14:textId="77777777" w:rsidR="00156C62" w:rsidRPr="00345A54" w:rsidRDefault="00156C62">
      <w:pPr>
        <w:rPr>
          <w:rFonts w:ascii="Arial" w:hAnsi="Arial" w:cs="Arial"/>
        </w:rPr>
      </w:pPr>
    </w:p>
    <w:p w14:paraId="5B6A9791" w14:textId="360F8A2C" w:rsidR="00156C62" w:rsidRPr="00345A54" w:rsidRDefault="007E67A8" w:rsidP="00C26D45">
      <w:pPr>
        <w:pStyle w:val="Ttulo2"/>
        <w:rPr>
          <w:rFonts w:ascii="Arial" w:hAnsi="Arial" w:cs="Arial"/>
        </w:rPr>
      </w:pPr>
      <w:r w:rsidRPr="00345A54">
        <w:rPr>
          <w:rFonts w:ascii="Arial" w:hAnsi="Arial" w:cs="Arial"/>
        </w:rPr>
        <w:t>Escaneo Automatizado</w:t>
      </w:r>
    </w:p>
    <w:p w14:paraId="5B6A9792" w14:textId="77777777" w:rsidR="00156C62" w:rsidRPr="00345A54" w:rsidRDefault="00156C62">
      <w:pPr>
        <w:rPr>
          <w:rFonts w:ascii="Arial" w:hAnsi="Arial" w:cs="Arial"/>
        </w:rPr>
      </w:pPr>
    </w:p>
    <w:p w14:paraId="5B6A9794" w14:textId="7CA2225F" w:rsidR="00156C62" w:rsidRDefault="00EA0540" w:rsidP="00EA0540">
      <w:pPr>
        <w:spacing w:line="480" w:lineRule="auto"/>
        <w:rPr>
          <w:rFonts w:ascii="Arial" w:hAnsi="Arial" w:cs="Arial"/>
        </w:rPr>
      </w:pPr>
      <w:r w:rsidRPr="00345A54">
        <w:rPr>
          <w:rFonts w:ascii="Arial" w:hAnsi="Arial" w:cs="Arial"/>
        </w:rPr>
        <w:t>La Tabla 2 resume de forma exhaustiva los resultados de evaluaciones comparativas al ejecutar un escaneo con OWASP ZAP en la versión 2.17.0. La eventualidad de riesgo de seguridad que parecería ser la más crítica fue la advertencia de SQL Injection de nivel High en el endpoint de búsqueda del backend de DSpace; en OJS, la eventualidad de riesgo de seguridad que estructuralmente sería más representativa es el hallazgo de hasta 31 instancias de Potential XSS distribuidas por toda la aplicación.</w:t>
      </w:r>
    </w:p>
    <w:p w14:paraId="5F7CD16D" w14:textId="77777777" w:rsidR="003D1CD6" w:rsidRDefault="003D1CD6" w:rsidP="00EA0540">
      <w:pPr>
        <w:spacing w:line="480" w:lineRule="auto"/>
        <w:rPr>
          <w:rFonts w:ascii="Arial" w:hAnsi="Arial" w:cs="Arial"/>
        </w:rPr>
      </w:pPr>
    </w:p>
    <w:p w14:paraId="5C34B5DC" w14:textId="77777777" w:rsidR="003D1CD6" w:rsidRDefault="003D1CD6" w:rsidP="00EA0540">
      <w:pPr>
        <w:spacing w:line="480" w:lineRule="auto"/>
        <w:rPr>
          <w:rFonts w:ascii="Arial" w:hAnsi="Arial" w:cs="Arial"/>
        </w:rPr>
      </w:pPr>
    </w:p>
    <w:p w14:paraId="25E5C5D4" w14:textId="77777777" w:rsidR="003D1CD6" w:rsidRPr="00345A54" w:rsidRDefault="003D1CD6" w:rsidP="00EA0540">
      <w:pPr>
        <w:spacing w:line="480" w:lineRule="auto"/>
        <w:rPr>
          <w:rFonts w:ascii="Arial" w:hAnsi="Arial" w:cs="Arial"/>
        </w:rPr>
      </w:pPr>
    </w:p>
    <w:p w14:paraId="5B6A9796" w14:textId="3AE00770" w:rsidR="00156C62" w:rsidRPr="00345A54" w:rsidRDefault="007E67A8" w:rsidP="00B40732">
      <w:pPr>
        <w:spacing w:line="480" w:lineRule="auto"/>
        <w:rPr>
          <w:rFonts w:ascii="Arial" w:hAnsi="Arial" w:cs="Arial"/>
        </w:rPr>
      </w:pPr>
      <w:r w:rsidRPr="00345A54">
        <w:rPr>
          <w:rFonts w:ascii="Arial" w:hAnsi="Arial" w:cs="Arial"/>
          <w:b/>
          <w:bCs/>
        </w:rPr>
        <w:lastRenderedPageBreak/>
        <w:t>Tabla 2</w:t>
      </w:r>
      <w:r w:rsidR="00B40732" w:rsidRPr="00345A54">
        <w:rPr>
          <w:rFonts w:ascii="Arial" w:hAnsi="Arial" w:cs="Arial"/>
          <w:b/>
          <w:bCs/>
        </w:rPr>
        <w:t>.</w:t>
      </w:r>
      <w:r w:rsidR="00B40732" w:rsidRPr="00345A54">
        <w:rPr>
          <w:rFonts w:ascii="Arial" w:hAnsi="Arial" w:cs="Arial"/>
          <w:i/>
          <w:iCs/>
        </w:rPr>
        <w:br/>
      </w:r>
      <w:r w:rsidRPr="00345A54">
        <w:rPr>
          <w:rFonts w:ascii="Arial" w:hAnsi="Arial" w:cs="Arial"/>
          <w:i/>
          <w:iCs/>
        </w:rPr>
        <w:t>Resultados comparativos del escaneo OJS vs. DSpace</w:t>
      </w:r>
    </w:p>
    <w:tbl>
      <w:tblPr>
        <w:tblStyle w:val="Tablanormal2"/>
        <w:tblW w:w="9360" w:type="dxa"/>
        <w:tblLayout w:type="fixed"/>
        <w:tblLook w:val="0600" w:firstRow="0" w:lastRow="0" w:firstColumn="0" w:lastColumn="0" w:noHBand="1" w:noVBand="1"/>
      </w:tblPr>
      <w:tblGrid>
        <w:gridCol w:w="2340"/>
        <w:gridCol w:w="2340"/>
        <w:gridCol w:w="2340"/>
        <w:gridCol w:w="2340"/>
      </w:tblGrid>
      <w:tr w:rsidR="003D1CD6" w14:paraId="5B9F0F8B" w14:textId="77777777" w:rsidTr="00BD7243">
        <w:tc>
          <w:tcPr>
            <w:tcW w:w="2340" w:type="dxa"/>
            <w:tcBorders>
              <w:top w:val="single" w:sz="4" w:space="0" w:color="7F7F7F" w:themeColor="text1" w:themeTint="80"/>
              <w:bottom w:val="single" w:sz="4" w:space="0" w:color="auto"/>
            </w:tcBorders>
          </w:tcPr>
          <w:p w14:paraId="4DE0992B" w14:textId="77777777" w:rsidR="003D1CD6" w:rsidRDefault="003D1CD6" w:rsidP="002172C2">
            <w:pPr>
              <w:rPr>
                <w:b/>
                <w:bCs/>
              </w:rPr>
            </w:pPr>
            <w:r>
              <w:rPr>
                <w:b/>
                <w:bCs/>
              </w:rPr>
              <w:t>Nivel de riesgo</w:t>
            </w:r>
          </w:p>
        </w:tc>
        <w:tc>
          <w:tcPr>
            <w:tcW w:w="2340" w:type="dxa"/>
            <w:tcBorders>
              <w:top w:val="single" w:sz="4" w:space="0" w:color="7F7F7F" w:themeColor="text1" w:themeTint="80"/>
              <w:bottom w:val="single" w:sz="4" w:space="0" w:color="auto"/>
            </w:tcBorders>
          </w:tcPr>
          <w:p w14:paraId="3C60E6FB" w14:textId="77777777" w:rsidR="003D1CD6" w:rsidRDefault="003D1CD6" w:rsidP="002172C2">
            <w:pPr>
              <w:rPr>
                <w:b/>
                <w:bCs/>
              </w:rPr>
            </w:pPr>
            <w:r>
              <w:rPr>
                <w:b/>
                <w:bCs/>
              </w:rPr>
              <w:t>OJS (8081)</w:t>
            </w:r>
          </w:p>
        </w:tc>
        <w:tc>
          <w:tcPr>
            <w:tcW w:w="2340" w:type="dxa"/>
            <w:tcBorders>
              <w:top w:val="single" w:sz="4" w:space="0" w:color="7F7F7F" w:themeColor="text1" w:themeTint="80"/>
              <w:bottom w:val="single" w:sz="4" w:space="0" w:color="auto"/>
            </w:tcBorders>
          </w:tcPr>
          <w:p w14:paraId="6C89F549" w14:textId="77777777" w:rsidR="003D1CD6" w:rsidRDefault="003D1CD6" w:rsidP="002172C2">
            <w:pPr>
              <w:rPr>
                <w:b/>
                <w:bCs/>
              </w:rPr>
            </w:pPr>
            <w:r>
              <w:rPr>
                <w:b/>
                <w:bCs/>
              </w:rPr>
              <w:t>DSpace Frontend (4000)</w:t>
            </w:r>
          </w:p>
        </w:tc>
        <w:tc>
          <w:tcPr>
            <w:tcW w:w="2340" w:type="dxa"/>
            <w:tcBorders>
              <w:top w:val="single" w:sz="4" w:space="0" w:color="7F7F7F" w:themeColor="text1" w:themeTint="80"/>
              <w:bottom w:val="single" w:sz="4" w:space="0" w:color="auto"/>
            </w:tcBorders>
          </w:tcPr>
          <w:p w14:paraId="0393E404" w14:textId="77777777" w:rsidR="003D1CD6" w:rsidRDefault="003D1CD6" w:rsidP="002172C2">
            <w:pPr>
              <w:rPr>
                <w:b/>
                <w:bCs/>
              </w:rPr>
            </w:pPr>
            <w:r>
              <w:rPr>
                <w:b/>
                <w:bCs/>
              </w:rPr>
              <w:t>DSpace Backend (8080)</w:t>
            </w:r>
          </w:p>
        </w:tc>
      </w:tr>
      <w:tr w:rsidR="003D1CD6" w14:paraId="411B2234" w14:textId="77777777" w:rsidTr="00BD7243">
        <w:tc>
          <w:tcPr>
            <w:tcW w:w="2340" w:type="dxa"/>
            <w:tcBorders>
              <w:top w:val="single" w:sz="4" w:space="0" w:color="auto"/>
            </w:tcBorders>
          </w:tcPr>
          <w:p w14:paraId="00243A24" w14:textId="77777777" w:rsidR="003D1CD6" w:rsidRDefault="003D1CD6" w:rsidP="002172C2">
            <w:r>
              <w:t>Alto</w:t>
            </w:r>
          </w:p>
        </w:tc>
        <w:tc>
          <w:tcPr>
            <w:tcW w:w="2340" w:type="dxa"/>
            <w:tcBorders>
              <w:top w:val="single" w:sz="4" w:space="0" w:color="auto"/>
            </w:tcBorders>
          </w:tcPr>
          <w:p w14:paraId="08D7271C" w14:textId="77777777" w:rsidR="003D1CD6" w:rsidRDefault="003D1CD6" w:rsidP="002172C2">
            <w:r>
              <w:t>0</w:t>
            </w:r>
          </w:p>
        </w:tc>
        <w:tc>
          <w:tcPr>
            <w:tcW w:w="2340" w:type="dxa"/>
            <w:tcBorders>
              <w:top w:val="single" w:sz="4" w:space="0" w:color="auto"/>
            </w:tcBorders>
          </w:tcPr>
          <w:p w14:paraId="41042135" w14:textId="77777777" w:rsidR="003D1CD6" w:rsidRDefault="003D1CD6" w:rsidP="002172C2">
            <w:r>
              <w:t>0</w:t>
            </w:r>
          </w:p>
        </w:tc>
        <w:tc>
          <w:tcPr>
            <w:tcW w:w="2340" w:type="dxa"/>
            <w:tcBorders>
              <w:top w:val="single" w:sz="4" w:space="0" w:color="auto"/>
            </w:tcBorders>
          </w:tcPr>
          <w:p w14:paraId="567AD3C5" w14:textId="77777777" w:rsidR="003D1CD6" w:rsidRDefault="003D1CD6" w:rsidP="002172C2">
            <w:r>
              <w:t>1 (falso positivo)</w:t>
            </w:r>
          </w:p>
        </w:tc>
      </w:tr>
      <w:tr w:rsidR="003D1CD6" w14:paraId="2AF83994" w14:textId="77777777" w:rsidTr="003D1CD6">
        <w:tc>
          <w:tcPr>
            <w:tcW w:w="2340" w:type="dxa"/>
          </w:tcPr>
          <w:p w14:paraId="48FC0579" w14:textId="77777777" w:rsidR="003D1CD6" w:rsidRDefault="003D1CD6" w:rsidP="002172C2">
            <w:r>
              <w:t>Medio</w:t>
            </w:r>
          </w:p>
        </w:tc>
        <w:tc>
          <w:tcPr>
            <w:tcW w:w="2340" w:type="dxa"/>
          </w:tcPr>
          <w:p w14:paraId="076AD1F8" w14:textId="77777777" w:rsidR="003D1CD6" w:rsidRDefault="003D1CD6" w:rsidP="002172C2">
            <w:r>
              <w:t>3 (1 falso positivo)</w:t>
            </w:r>
          </w:p>
        </w:tc>
        <w:tc>
          <w:tcPr>
            <w:tcW w:w="2340" w:type="dxa"/>
          </w:tcPr>
          <w:p w14:paraId="2805D6DC" w14:textId="77777777" w:rsidR="003D1CD6" w:rsidRDefault="003D1CD6" w:rsidP="002172C2">
            <w:r>
              <w:t>2</w:t>
            </w:r>
          </w:p>
        </w:tc>
        <w:tc>
          <w:tcPr>
            <w:tcW w:w="2340" w:type="dxa"/>
          </w:tcPr>
          <w:p w14:paraId="03107F81" w14:textId="77777777" w:rsidR="003D1CD6" w:rsidRDefault="003D1CD6" w:rsidP="002172C2">
            <w:r>
              <w:t>4 (2 falsos positivos)</w:t>
            </w:r>
          </w:p>
        </w:tc>
      </w:tr>
      <w:tr w:rsidR="003D1CD6" w14:paraId="217BCF06" w14:textId="77777777" w:rsidTr="003D1CD6">
        <w:tc>
          <w:tcPr>
            <w:tcW w:w="2340" w:type="dxa"/>
          </w:tcPr>
          <w:p w14:paraId="0FC5A1B6" w14:textId="77777777" w:rsidR="003D1CD6" w:rsidRDefault="003D1CD6" w:rsidP="002172C2">
            <w:r>
              <w:t>Bajo</w:t>
            </w:r>
          </w:p>
        </w:tc>
        <w:tc>
          <w:tcPr>
            <w:tcW w:w="2340" w:type="dxa"/>
          </w:tcPr>
          <w:p w14:paraId="2BD97D6A" w14:textId="77777777" w:rsidR="003D1CD6" w:rsidRDefault="003D1CD6" w:rsidP="002172C2">
            <w:r>
              <w:t>3</w:t>
            </w:r>
          </w:p>
        </w:tc>
        <w:tc>
          <w:tcPr>
            <w:tcW w:w="2340" w:type="dxa"/>
          </w:tcPr>
          <w:p w14:paraId="51AD0B1F" w14:textId="77777777" w:rsidR="003D1CD6" w:rsidRDefault="003D1CD6" w:rsidP="002172C2">
            <w:r>
              <w:t>4</w:t>
            </w:r>
          </w:p>
        </w:tc>
        <w:tc>
          <w:tcPr>
            <w:tcW w:w="2340" w:type="dxa"/>
          </w:tcPr>
          <w:p w14:paraId="76908644" w14:textId="77777777" w:rsidR="003D1CD6" w:rsidRDefault="003D1CD6" w:rsidP="002172C2">
            <w:r>
              <w:t>4</w:t>
            </w:r>
          </w:p>
        </w:tc>
      </w:tr>
      <w:tr w:rsidR="003D1CD6" w14:paraId="505D20FD" w14:textId="77777777" w:rsidTr="003D1CD6">
        <w:tc>
          <w:tcPr>
            <w:tcW w:w="2340" w:type="dxa"/>
          </w:tcPr>
          <w:p w14:paraId="25C1D772" w14:textId="77777777" w:rsidR="003D1CD6" w:rsidRDefault="003D1CD6" w:rsidP="002172C2">
            <w:r>
              <w:t>Informativo</w:t>
            </w:r>
          </w:p>
        </w:tc>
        <w:tc>
          <w:tcPr>
            <w:tcW w:w="2340" w:type="dxa"/>
          </w:tcPr>
          <w:p w14:paraId="18730815" w14:textId="77777777" w:rsidR="003D1CD6" w:rsidRDefault="003D1CD6" w:rsidP="002172C2">
            <w:r>
              <w:t>5</w:t>
            </w:r>
          </w:p>
        </w:tc>
        <w:tc>
          <w:tcPr>
            <w:tcW w:w="2340" w:type="dxa"/>
          </w:tcPr>
          <w:p w14:paraId="1009D50A" w14:textId="77777777" w:rsidR="003D1CD6" w:rsidRDefault="003D1CD6" w:rsidP="002172C2">
            <w:r>
              <w:t>3</w:t>
            </w:r>
          </w:p>
        </w:tc>
        <w:tc>
          <w:tcPr>
            <w:tcW w:w="2340" w:type="dxa"/>
          </w:tcPr>
          <w:p w14:paraId="643E9814" w14:textId="77777777" w:rsidR="003D1CD6" w:rsidRDefault="003D1CD6" w:rsidP="002172C2">
            <w:r>
              <w:t>3</w:t>
            </w:r>
          </w:p>
        </w:tc>
      </w:tr>
    </w:tbl>
    <w:p w14:paraId="5B6A97BC" w14:textId="77777777" w:rsidR="00156C62" w:rsidRPr="00345A54" w:rsidRDefault="00156C62">
      <w:pPr>
        <w:rPr>
          <w:rFonts w:ascii="Arial" w:hAnsi="Arial" w:cs="Arial"/>
        </w:rPr>
      </w:pPr>
    </w:p>
    <w:p w14:paraId="7F326E5A" w14:textId="4DD3071B" w:rsidR="00D05482" w:rsidRPr="00345A54" w:rsidRDefault="007E67A8">
      <w:pPr>
        <w:spacing w:line="480" w:lineRule="auto"/>
        <w:rPr>
          <w:rFonts w:ascii="Arial" w:hAnsi="Arial" w:cs="Arial"/>
          <w:i/>
          <w:iCs/>
          <w:sz w:val="20"/>
          <w:szCs w:val="20"/>
        </w:rPr>
      </w:pPr>
      <w:r w:rsidRPr="00345A54">
        <w:rPr>
          <w:rFonts w:ascii="Arial" w:hAnsi="Arial" w:cs="Arial"/>
          <w:i/>
          <w:iCs/>
          <w:sz w:val="20"/>
          <w:szCs w:val="20"/>
        </w:rPr>
        <w:t>Nota.</w:t>
      </w:r>
      <w:r w:rsidR="00934830">
        <w:rPr>
          <w:rFonts w:ascii="Arial" w:hAnsi="Arial" w:cs="Arial"/>
          <w:i/>
          <w:iCs/>
          <w:sz w:val="20"/>
          <w:szCs w:val="20"/>
        </w:rPr>
        <w:t xml:space="preserve"> </w:t>
      </w:r>
      <w:r w:rsidR="00934830" w:rsidRPr="00F3700A">
        <w:rPr>
          <w:i/>
          <w:iCs/>
          <w:sz w:val="20"/>
          <w:szCs w:val="20"/>
        </w:rPr>
        <w:t>Escaneo ejecutado con OWASP ZAP 2.17.0 (spider tradicional y AJAX). DSpace evaluado en sus dos capas arquitectónicas (puertos 4000 y 8080). Los falsos positivos se verificaron manualmente en la Fase 3.</w:t>
      </w:r>
    </w:p>
    <w:p w14:paraId="0D389C69" w14:textId="77777777" w:rsidR="00D05482" w:rsidRPr="00345A54" w:rsidRDefault="00D05482">
      <w:pPr>
        <w:spacing w:line="480" w:lineRule="auto"/>
        <w:rPr>
          <w:rFonts w:ascii="Arial" w:hAnsi="Arial" w:cs="Arial"/>
          <w:i/>
          <w:iCs/>
          <w:sz w:val="20"/>
          <w:szCs w:val="20"/>
        </w:rPr>
      </w:pPr>
    </w:p>
    <w:p w14:paraId="5B6A97BF" w14:textId="1EA7368A" w:rsidR="00156C62" w:rsidRPr="00345A54" w:rsidRDefault="007E67A8" w:rsidP="00C26D45">
      <w:pPr>
        <w:pStyle w:val="Ttulo2"/>
        <w:rPr>
          <w:rFonts w:ascii="Arial" w:hAnsi="Arial" w:cs="Arial"/>
        </w:rPr>
      </w:pPr>
      <w:r w:rsidRPr="00345A54">
        <w:rPr>
          <w:rFonts w:ascii="Arial" w:hAnsi="Arial" w:cs="Arial"/>
        </w:rPr>
        <w:t>Verificación Técnica Manual</w:t>
      </w:r>
    </w:p>
    <w:p w14:paraId="5B6A97C0" w14:textId="77777777" w:rsidR="00156C62" w:rsidRPr="00345A54" w:rsidRDefault="00156C62">
      <w:pPr>
        <w:rPr>
          <w:rFonts w:ascii="Arial" w:hAnsi="Arial" w:cs="Arial"/>
        </w:rPr>
      </w:pPr>
    </w:p>
    <w:p w14:paraId="5B6A97C1" w14:textId="273030AD" w:rsidR="00156C62" w:rsidRPr="00345A54" w:rsidRDefault="00F3700A" w:rsidP="00C26D45">
      <w:pPr>
        <w:pStyle w:val="Ttulo3"/>
        <w:rPr>
          <w:rFonts w:ascii="Arial" w:hAnsi="Arial" w:cs="Arial"/>
        </w:rPr>
      </w:pPr>
      <w:r w:rsidRPr="00345A54">
        <w:rPr>
          <w:rFonts w:ascii="Arial" w:hAnsi="Arial" w:cs="Arial"/>
        </w:rPr>
        <w:t>DSpace</w:t>
      </w:r>
      <w:r w:rsidR="00D54717">
        <w:rPr>
          <w:rFonts w:ascii="Arial" w:hAnsi="Arial" w:cs="Arial"/>
        </w:rPr>
        <w:t>:</w:t>
      </w:r>
      <w:r w:rsidRPr="00345A54">
        <w:rPr>
          <w:rFonts w:ascii="Arial" w:hAnsi="Arial" w:cs="Arial"/>
        </w:rPr>
        <w:t xml:space="preserve"> </w:t>
      </w:r>
      <w:r w:rsidR="00D54717" w:rsidRPr="00D54717">
        <w:rPr>
          <w:rFonts w:ascii="Arial" w:hAnsi="Arial" w:cs="Arial"/>
        </w:rPr>
        <w:t>descarte del SQL Injection</w:t>
      </w:r>
    </w:p>
    <w:p w14:paraId="5B6A97C2" w14:textId="77777777" w:rsidR="00156C62" w:rsidRPr="00345A54" w:rsidRDefault="00156C62">
      <w:pPr>
        <w:rPr>
          <w:rFonts w:ascii="Arial" w:hAnsi="Arial" w:cs="Arial"/>
        </w:rPr>
      </w:pPr>
    </w:p>
    <w:p w14:paraId="5B6A97C4" w14:textId="78DD0369" w:rsidR="00156C62" w:rsidRPr="00BD7243" w:rsidRDefault="00CC7C5D" w:rsidP="00BD7243">
      <w:pPr>
        <w:pStyle w:val="APA7"/>
      </w:pPr>
      <w:r w:rsidRPr="00BD7243">
        <w:t>La alerta de mayor severidad se verificó con curl. La inyección de una comilla doble (</w:t>
      </w:r>
      <w:r w:rsidRPr="00BD7243">
        <w:rPr>
          <w:rFonts w:ascii="Courier New" w:hAnsi="Courier New" w:cs="Courier New"/>
          <w:sz w:val="22"/>
          <w:szCs w:val="22"/>
        </w:rPr>
        <w:t>query=%22</w:t>
      </w:r>
      <w:r w:rsidRPr="00BD7243">
        <w:t>) reprodujo un HTTP 500 con mensaje de error genérico, sin exponer trazas ni fragmentos de consulta. La prueba de inyección booleana (</w:t>
      </w:r>
      <w:r w:rsidRPr="00BD7243">
        <w:rPr>
          <w:rFonts w:ascii="Courier New" w:hAnsi="Courier New" w:cs="Courier New"/>
          <w:sz w:val="22"/>
          <w:szCs w:val="22"/>
        </w:rPr>
        <w:t>query=test' OR '1'='1</w:t>
      </w:r>
      <w:r w:rsidRPr="00BD7243">
        <w:t>) devolvió HTTP 200 sin alterar la lógica de resultados: la respuesta varió en 21 bytes respecto a la consulta base, atribuibles al reflejo textual del payload. El buscador de DSpace opera sobre Apache Solr, no sobre consultas SQL directas, por lo que el endpoint no es inyectable por esta vía. La alerta se confirmó como falso positivo. Dos alertas adicionales de nivel medio Buffer Overflow en OJS (CWE-120) y Format String en DSpace (CWE-134) también se descartaron, por corresponder a vulnerabilidades de lenguajes C/C++ inaplicables a aplicaciones en PHP y Java.</w:t>
      </w:r>
    </w:p>
    <w:p w14:paraId="4514CCF1" w14:textId="4D943318" w:rsidR="00D05482" w:rsidRPr="00345A54" w:rsidRDefault="00D05482" w:rsidP="00D05482">
      <w:pPr>
        <w:pStyle w:val="Ttulo3"/>
        <w:rPr>
          <w:rFonts w:ascii="Arial" w:hAnsi="Arial" w:cs="Arial"/>
        </w:rPr>
      </w:pPr>
      <w:r w:rsidRPr="00345A54">
        <w:rPr>
          <w:rFonts w:ascii="Arial" w:hAnsi="Arial" w:cs="Arial"/>
        </w:rPr>
        <w:t>OJS</w:t>
      </w:r>
      <w:r w:rsidR="000F17AA" w:rsidRPr="000F17AA">
        <w:rPr>
          <w:rFonts w:ascii="Arial" w:hAnsi="Arial" w:cs="Arial"/>
        </w:rPr>
        <w:t>: XSS almacenado confirmado</w:t>
      </w:r>
    </w:p>
    <w:p w14:paraId="16055DD6" w14:textId="4FACEAD5" w:rsidR="00D05482" w:rsidRPr="00345A54" w:rsidRDefault="00A4478C" w:rsidP="00D05482">
      <w:pPr>
        <w:spacing w:line="480" w:lineRule="auto"/>
        <w:rPr>
          <w:rFonts w:ascii="Arial" w:hAnsi="Arial" w:cs="Arial"/>
          <w:b/>
          <w:bCs/>
          <w:i/>
          <w:iCs/>
        </w:rPr>
      </w:pPr>
      <w:r w:rsidRPr="00A4478C">
        <w:rPr>
          <w:rFonts w:ascii="Arial" w:hAnsi="Arial" w:cs="Arial"/>
        </w:rPr>
        <w:t>Se inyectó el payload</w:t>
      </w:r>
      <w:r w:rsidRPr="00A4478C">
        <w:rPr>
          <w:rFonts w:ascii="Arial" w:hAnsi="Arial" w:cs="Arial"/>
          <w:sz w:val="28"/>
          <w:szCs w:val="28"/>
        </w:rPr>
        <w:t xml:space="preserve"> </w:t>
      </w:r>
      <w:r w:rsidRPr="00A4478C">
        <w:rPr>
          <w:rFonts w:ascii="Courier New" w:hAnsi="Courier New" w:cs="Courier New"/>
          <w:sz w:val="22"/>
          <w:szCs w:val="22"/>
        </w:rPr>
        <w:t>&lt;script&gt;alert('XSS-25436')&lt;/script&gt;</w:t>
      </w:r>
      <w:r w:rsidRPr="00A4478C">
        <w:rPr>
          <w:rFonts w:ascii="Arial" w:hAnsi="Arial" w:cs="Arial"/>
        </w:rPr>
        <w:t xml:space="preserve"> en el campo de asunto del módulo de discusiones del flujo editorial, correspondiente a CVE-2024-</w:t>
      </w:r>
      <w:r w:rsidRPr="00A4478C">
        <w:rPr>
          <w:rFonts w:ascii="Arial" w:hAnsi="Arial" w:cs="Arial"/>
        </w:rPr>
        <w:lastRenderedPageBreak/>
        <w:t>25436. La inspección del DOM mediante las herramientas de desarrollador del navegador confirmó que el payload se almacenó y se incorporó al documento como HTML sin codificar, no como texto escapado, y quedó visible para otros roles del flujo editorial. La prueba confirma la persistencia sin sanitización (CWE-79); no se observó la ejecución automática del script, comportamiento esperable dado que los navegadores modernos no ejecutan elementos &lt;script&gt; insertados dinámicamente por esta vía. El hallazgo se acota, por tanto, a la persistencia de contenido no saneado.</w:t>
      </w:r>
    </w:p>
    <w:p w14:paraId="66EDA2AC" w14:textId="072D720F" w:rsidR="00D05482" w:rsidRPr="00345A54" w:rsidRDefault="00D05482" w:rsidP="00D05482">
      <w:pPr>
        <w:pStyle w:val="Ttulo3"/>
        <w:rPr>
          <w:rFonts w:ascii="Arial" w:hAnsi="Arial" w:cs="Arial"/>
        </w:rPr>
      </w:pPr>
      <w:r w:rsidRPr="00345A54">
        <w:rPr>
          <w:rFonts w:ascii="Arial" w:hAnsi="Arial" w:cs="Arial"/>
        </w:rPr>
        <w:t xml:space="preserve">OJS </w:t>
      </w:r>
      <w:r w:rsidR="001A4F21" w:rsidRPr="001A4F21">
        <w:rPr>
          <w:rFonts w:ascii="Arial" w:hAnsi="Arial" w:cs="Arial"/>
        </w:rPr>
        <w:t>: CSRF confirmado</w:t>
      </w:r>
    </w:p>
    <w:p w14:paraId="5EE95F73" w14:textId="72AA080F" w:rsidR="00D05482" w:rsidRDefault="00B852F3" w:rsidP="00D05482">
      <w:pPr>
        <w:spacing w:line="480" w:lineRule="auto"/>
        <w:rPr>
          <w:rFonts w:ascii="Arial" w:hAnsi="Arial" w:cs="Arial"/>
        </w:rPr>
      </w:pPr>
      <w:r w:rsidRPr="00B852F3">
        <w:rPr>
          <w:rFonts w:ascii="Arial" w:hAnsi="Arial" w:cs="Arial"/>
        </w:rPr>
        <w:t>El hallazgo central del estudio es la ausencia de validación del token anti-CSRF en peticiones que modifican estado. Con una sesión de administrador activa, se interceptó con Burp Suite una petición legítima de envío de una discusión editorial (POST al endpoint update-query) y se sometió a tres condiciones en el módulo Repeater. Con token válido, el servidor respondió HTTP 200 y ejecutó la acción. Con el token eliminado, respondió HTTP 200 y ejecutó la acción. Con un token arbitrario inválido, respondió HTTP 200 y ejecutó la acción. El servidor genera y entrega el token en el formulario, pero no lo verifica al recibir la petición: el mecanismo de protección existe en apariencia, pero no opera. Esto confirma CVE-2023-6671 en OJS 3.3.0.21, pese a ser una versión vigente de la rama estable.</w:t>
      </w:r>
    </w:p>
    <w:p w14:paraId="2BB0FFBB" w14:textId="77777777" w:rsidR="00986A0A" w:rsidRDefault="00986A0A" w:rsidP="00D05482">
      <w:pPr>
        <w:spacing w:line="480" w:lineRule="auto"/>
        <w:rPr>
          <w:rFonts w:ascii="Arial" w:hAnsi="Arial" w:cs="Arial"/>
        </w:rPr>
      </w:pPr>
    </w:p>
    <w:p w14:paraId="41876393" w14:textId="77777777" w:rsidR="00986A0A" w:rsidRDefault="00986A0A" w:rsidP="00D05482">
      <w:pPr>
        <w:spacing w:line="480" w:lineRule="auto"/>
        <w:rPr>
          <w:rFonts w:ascii="Arial" w:hAnsi="Arial" w:cs="Arial"/>
        </w:rPr>
      </w:pPr>
    </w:p>
    <w:p w14:paraId="65BCF486" w14:textId="77777777" w:rsidR="00986A0A" w:rsidRDefault="00986A0A" w:rsidP="00D05482">
      <w:pPr>
        <w:spacing w:line="480" w:lineRule="auto"/>
        <w:rPr>
          <w:rFonts w:ascii="Arial" w:hAnsi="Arial" w:cs="Arial"/>
        </w:rPr>
      </w:pPr>
    </w:p>
    <w:p w14:paraId="4BC4A91F" w14:textId="77777777" w:rsidR="00986A0A" w:rsidRPr="00345A54" w:rsidRDefault="00986A0A" w:rsidP="00D05482">
      <w:pPr>
        <w:spacing w:line="480" w:lineRule="auto"/>
        <w:rPr>
          <w:rFonts w:ascii="Arial" w:hAnsi="Arial" w:cs="Arial"/>
        </w:rPr>
      </w:pPr>
    </w:p>
    <w:p w14:paraId="1EB3E9E2" w14:textId="77777777" w:rsidR="00D05482" w:rsidRPr="00345A54" w:rsidRDefault="00D05482" w:rsidP="00D05482">
      <w:pPr>
        <w:spacing w:line="480" w:lineRule="auto"/>
        <w:rPr>
          <w:rFonts w:ascii="Arial" w:hAnsi="Arial" w:cs="Arial"/>
        </w:rPr>
      </w:pPr>
    </w:p>
    <w:p w14:paraId="4063CFD3" w14:textId="52454926" w:rsidR="00E22DCA" w:rsidRPr="00345A54" w:rsidRDefault="007E67A8" w:rsidP="00D05482">
      <w:pPr>
        <w:spacing w:line="480" w:lineRule="auto"/>
        <w:rPr>
          <w:rFonts w:ascii="Arial" w:hAnsi="Arial" w:cs="Arial"/>
          <w:b/>
          <w:bCs/>
        </w:rPr>
      </w:pPr>
      <w:r w:rsidRPr="00345A54">
        <w:rPr>
          <w:rFonts w:ascii="Arial" w:hAnsi="Arial" w:cs="Arial"/>
          <w:b/>
          <w:bCs/>
        </w:rPr>
        <w:lastRenderedPageBreak/>
        <w:t>Figura 2</w:t>
      </w:r>
    </w:p>
    <w:p w14:paraId="5B6A97CF" w14:textId="1660F312" w:rsidR="00156C62" w:rsidRPr="00345A54" w:rsidRDefault="007E67A8" w:rsidP="00E22DCA">
      <w:pPr>
        <w:spacing w:line="480" w:lineRule="auto"/>
        <w:rPr>
          <w:rFonts w:ascii="Arial" w:hAnsi="Arial" w:cs="Arial"/>
        </w:rPr>
      </w:pPr>
      <w:r w:rsidRPr="00345A54">
        <w:rPr>
          <w:rFonts w:ascii="Arial" w:hAnsi="Arial" w:cs="Arial"/>
          <w:i/>
          <w:iCs/>
        </w:rPr>
        <w:t>Flujo del bypass CSRF confirmado en OJS 3.3.0.2</w:t>
      </w:r>
      <w:r w:rsidR="00986A0A">
        <w:rPr>
          <w:rFonts w:ascii="Arial" w:hAnsi="Arial" w:cs="Arial"/>
          <w:i/>
          <w:iCs/>
        </w:rPr>
        <w:t>1</w:t>
      </w:r>
    </w:p>
    <w:p w14:paraId="5B6A97D1" w14:textId="2054843C" w:rsidR="00156C62" w:rsidRPr="00345A54" w:rsidRDefault="00E22DCA">
      <w:pPr>
        <w:rPr>
          <w:rFonts w:ascii="Arial" w:hAnsi="Arial" w:cs="Arial"/>
        </w:rPr>
      </w:pPr>
      <w:r w:rsidRPr="00345A54">
        <w:rPr>
          <w:rFonts w:ascii="Arial" w:hAnsi="Arial" w:cs="Arial"/>
          <w:noProof/>
        </w:rPr>
        <w:drawing>
          <wp:inline distT="0" distB="0" distL="0" distR="0" wp14:anchorId="6561C0B2" wp14:editId="7A2F7074">
            <wp:extent cx="5943600" cy="3452495"/>
            <wp:effectExtent l="0" t="0" r="0" b="0"/>
            <wp:docPr id="511189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89005" name=""/>
                    <pic:cNvPicPr/>
                  </pic:nvPicPr>
                  <pic:blipFill>
                    <a:blip r:embed="rId8"/>
                    <a:stretch>
                      <a:fillRect/>
                    </a:stretch>
                  </pic:blipFill>
                  <pic:spPr>
                    <a:xfrm>
                      <a:off x="0" y="0"/>
                      <a:ext cx="5943600" cy="3452495"/>
                    </a:xfrm>
                    <a:prstGeom prst="rect">
                      <a:avLst/>
                    </a:prstGeom>
                  </pic:spPr>
                </pic:pic>
              </a:graphicData>
            </a:graphic>
          </wp:inline>
        </w:drawing>
      </w:r>
    </w:p>
    <w:p w14:paraId="5B6A97D2" w14:textId="1D29C036" w:rsidR="00156C62" w:rsidRDefault="007E67A8">
      <w:pPr>
        <w:spacing w:line="480" w:lineRule="auto"/>
        <w:rPr>
          <w:rFonts w:ascii="Arial" w:hAnsi="Arial" w:cs="Arial"/>
          <w:i/>
          <w:iCs/>
          <w:sz w:val="20"/>
          <w:szCs w:val="20"/>
        </w:rPr>
      </w:pPr>
      <w:r w:rsidRPr="00345A54">
        <w:rPr>
          <w:rFonts w:ascii="Arial" w:hAnsi="Arial" w:cs="Arial"/>
          <w:i/>
          <w:iCs/>
          <w:sz w:val="20"/>
          <w:szCs w:val="20"/>
        </w:rPr>
        <w:t>Nota. Elaboración propia. Prueba con Burp Suite Community Edition v2025.10.6. CVE-2023-6671, CVSS 8.8 High (NVD, 2023).</w:t>
      </w:r>
    </w:p>
    <w:p w14:paraId="4DB580C8" w14:textId="77777777" w:rsidR="00E17082" w:rsidRDefault="00E17082">
      <w:pPr>
        <w:spacing w:line="480" w:lineRule="auto"/>
        <w:rPr>
          <w:rFonts w:ascii="Arial" w:hAnsi="Arial" w:cs="Arial"/>
          <w:i/>
          <w:iCs/>
          <w:sz w:val="20"/>
          <w:szCs w:val="20"/>
        </w:rPr>
      </w:pPr>
    </w:p>
    <w:p w14:paraId="34DDE9A6" w14:textId="77777777" w:rsidR="00E17082" w:rsidRPr="00E17082" w:rsidRDefault="00E17082" w:rsidP="00E17082">
      <w:pPr>
        <w:spacing w:line="480" w:lineRule="auto"/>
        <w:rPr>
          <w:rFonts w:ascii="Arial" w:hAnsi="Arial" w:cs="Arial"/>
          <w:b/>
          <w:bCs/>
        </w:rPr>
      </w:pPr>
      <w:r w:rsidRPr="00E17082">
        <w:rPr>
          <w:rFonts w:ascii="Arial" w:hAnsi="Arial" w:cs="Arial"/>
          <w:b/>
          <w:bCs/>
        </w:rPr>
        <w:t>DSpace: CSRF protegido</w:t>
      </w:r>
    </w:p>
    <w:p w14:paraId="5AB5C2F5" w14:textId="3D03A19F" w:rsidR="00E17082" w:rsidRDefault="00E17082" w:rsidP="00E17082">
      <w:pPr>
        <w:spacing w:line="480" w:lineRule="auto"/>
        <w:rPr>
          <w:rFonts w:ascii="Arial" w:hAnsi="Arial" w:cs="Arial"/>
        </w:rPr>
      </w:pPr>
      <w:r w:rsidRPr="00E17082">
        <w:rPr>
          <w:rFonts w:ascii="Arial" w:hAnsi="Arial" w:cs="Arial"/>
        </w:rPr>
        <w:t>Sometido a la misma prueba sobre una petición PATCH de actualización de perfil, DSpace validó estrictamente el token. Con el token de doble envío válido, respondió HTTP 200; con el token ausente o inválido, respondió HTTP 403 con el mensaje explícito de token CSRF inválido, y rotó la cookie XSRF ante el fallo. Este contraste dos plataformas del mismo dominio, idéntica metodología, comportamientos opuestos constituye el hallazgo comparativo central del estudio.</w:t>
      </w:r>
    </w:p>
    <w:p w14:paraId="1D3FEE9A" w14:textId="77777777" w:rsidR="00E17082" w:rsidRDefault="00E17082" w:rsidP="00E17082">
      <w:pPr>
        <w:spacing w:line="480" w:lineRule="auto"/>
        <w:rPr>
          <w:rFonts w:ascii="Arial" w:hAnsi="Arial" w:cs="Arial"/>
        </w:rPr>
      </w:pPr>
    </w:p>
    <w:p w14:paraId="071775AA" w14:textId="77777777" w:rsidR="00E17082" w:rsidRPr="00345A54" w:rsidRDefault="00E17082" w:rsidP="00E17082">
      <w:pPr>
        <w:spacing w:line="480" w:lineRule="auto"/>
        <w:rPr>
          <w:rFonts w:ascii="Arial" w:hAnsi="Arial" w:cs="Arial"/>
        </w:rPr>
      </w:pPr>
    </w:p>
    <w:p w14:paraId="5B6A97D3" w14:textId="77777777" w:rsidR="00156C62" w:rsidRPr="00345A54" w:rsidRDefault="00156C62">
      <w:pPr>
        <w:rPr>
          <w:rFonts w:ascii="Arial" w:hAnsi="Arial" w:cs="Arial"/>
        </w:rPr>
      </w:pPr>
    </w:p>
    <w:p w14:paraId="5B6A97D4" w14:textId="77777777" w:rsidR="00156C62" w:rsidRPr="00345A54" w:rsidRDefault="007E67A8" w:rsidP="00EB190A">
      <w:pPr>
        <w:pStyle w:val="Ttulo3"/>
        <w:rPr>
          <w:rFonts w:ascii="Arial" w:hAnsi="Arial" w:cs="Arial"/>
        </w:rPr>
      </w:pPr>
      <w:r w:rsidRPr="00345A54">
        <w:rPr>
          <w:rFonts w:ascii="Arial" w:hAnsi="Arial" w:cs="Arial"/>
        </w:rPr>
        <w:t>Metasploit Framework</w:t>
      </w:r>
    </w:p>
    <w:p w14:paraId="5B6A97D5" w14:textId="77777777" w:rsidR="00156C62" w:rsidRPr="00345A54" w:rsidRDefault="00156C62">
      <w:pPr>
        <w:rPr>
          <w:rFonts w:ascii="Arial" w:hAnsi="Arial" w:cs="Arial"/>
        </w:rPr>
      </w:pPr>
    </w:p>
    <w:p w14:paraId="6636F7AD" w14:textId="1ED0D5F4" w:rsidR="00BF4C0D" w:rsidRPr="00345A54" w:rsidRDefault="00534BB7">
      <w:pPr>
        <w:spacing w:line="480" w:lineRule="auto"/>
        <w:ind w:firstLine="720"/>
        <w:jc w:val="both"/>
        <w:rPr>
          <w:rFonts w:ascii="Arial" w:hAnsi="Arial" w:cs="Arial"/>
        </w:rPr>
      </w:pPr>
      <w:r w:rsidRPr="00534BB7">
        <w:rPr>
          <w:rFonts w:ascii="Arial" w:hAnsi="Arial" w:cs="Arial"/>
        </w:rPr>
        <w:t>La búsqueda de módulos específicos para OJS y DSpace no retornó resultados en el repositorio oficial. Existen módulos para aplicaciones web PHP genéricas, ninguno dirigido a estas plataformas. Esto reduce el riesgo de ataques oportunistas automatizados, pero no mitiga la explotación manual dirigida, como demostró la propia verificación con Burp Suite.</w:t>
      </w:r>
    </w:p>
    <w:p w14:paraId="5B6A97D8" w14:textId="1D1A20E9" w:rsidR="00156C62" w:rsidRPr="00345A54" w:rsidRDefault="007E67A8" w:rsidP="000E23B0">
      <w:pPr>
        <w:pStyle w:val="Ttulo2"/>
        <w:rPr>
          <w:rFonts w:ascii="Arial" w:hAnsi="Arial" w:cs="Arial"/>
        </w:rPr>
      </w:pPr>
      <w:r w:rsidRPr="00345A54">
        <w:rPr>
          <w:rFonts w:ascii="Arial" w:hAnsi="Arial" w:cs="Arial"/>
        </w:rPr>
        <w:t>Perfil Comparativo de Riesgo</w:t>
      </w:r>
    </w:p>
    <w:p w14:paraId="5B6A97D9" w14:textId="77777777" w:rsidR="00156C62" w:rsidRPr="00345A54" w:rsidRDefault="00156C62">
      <w:pPr>
        <w:rPr>
          <w:rFonts w:ascii="Arial" w:hAnsi="Arial" w:cs="Arial"/>
        </w:rPr>
      </w:pPr>
    </w:p>
    <w:p w14:paraId="5B6A97DB" w14:textId="77777777" w:rsidR="00156C62" w:rsidRPr="00345A54" w:rsidRDefault="00156C62">
      <w:pPr>
        <w:rPr>
          <w:rFonts w:ascii="Arial" w:hAnsi="Arial" w:cs="Arial"/>
        </w:rPr>
      </w:pPr>
    </w:p>
    <w:p w14:paraId="5B6A97DC" w14:textId="77777777" w:rsidR="00156C62" w:rsidRPr="00345A54" w:rsidRDefault="007E67A8" w:rsidP="007F6906">
      <w:pPr>
        <w:spacing w:line="480" w:lineRule="auto"/>
        <w:rPr>
          <w:rFonts w:ascii="Arial" w:hAnsi="Arial" w:cs="Arial"/>
          <w:b/>
          <w:bCs/>
        </w:rPr>
      </w:pPr>
      <w:r w:rsidRPr="00345A54">
        <w:rPr>
          <w:rFonts w:ascii="Arial" w:hAnsi="Arial" w:cs="Arial"/>
          <w:b/>
          <w:bCs/>
        </w:rPr>
        <w:t>Tabla 3</w:t>
      </w:r>
    </w:p>
    <w:p w14:paraId="5B6A97DE" w14:textId="1E92EF7B" w:rsidR="00156C62" w:rsidRDefault="0059449E">
      <w:pPr>
        <w:rPr>
          <w:i/>
          <w:iCs/>
        </w:rPr>
      </w:pPr>
      <w:r>
        <w:rPr>
          <w:i/>
          <w:iCs/>
        </w:rPr>
        <w:t>Perfil comparativo consolidado de riesgo OJS 3.3.0.21 vs. DSpace 7.6.7-SNAPSHOT</w:t>
      </w:r>
    </w:p>
    <w:p w14:paraId="0234DC03" w14:textId="77777777" w:rsidR="0059449E" w:rsidRPr="00345A54" w:rsidRDefault="0059449E">
      <w:pPr>
        <w:rPr>
          <w:rFonts w:ascii="Arial" w:hAnsi="Arial" w:cs="Arial"/>
        </w:rPr>
      </w:pPr>
    </w:p>
    <w:tbl>
      <w:tblPr>
        <w:tblStyle w:val="Tablanormal2"/>
        <w:tblW w:w="9360" w:type="dxa"/>
        <w:tblLayout w:type="fixed"/>
        <w:tblLook w:val="0600" w:firstRow="0" w:lastRow="0" w:firstColumn="0" w:lastColumn="0" w:noHBand="1" w:noVBand="1"/>
      </w:tblPr>
      <w:tblGrid>
        <w:gridCol w:w="3120"/>
        <w:gridCol w:w="3120"/>
        <w:gridCol w:w="3120"/>
      </w:tblGrid>
      <w:tr w:rsidR="00AB512F" w:rsidRPr="00AB512F" w14:paraId="7BCBC793" w14:textId="77777777" w:rsidTr="00AB512F">
        <w:tc>
          <w:tcPr>
            <w:tcW w:w="3120" w:type="dxa"/>
            <w:tcBorders>
              <w:top w:val="single" w:sz="4" w:space="0" w:color="7F7F7F" w:themeColor="text1" w:themeTint="80"/>
              <w:bottom w:val="single" w:sz="4" w:space="0" w:color="auto"/>
            </w:tcBorders>
          </w:tcPr>
          <w:p w14:paraId="57726E8D" w14:textId="77777777" w:rsidR="00AB512F" w:rsidRPr="00AB512F" w:rsidRDefault="00AB512F" w:rsidP="002172C2">
            <w:pPr>
              <w:rPr>
                <w:b/>
                <w:bCs/>
                <w:sz w:val="22"/>
                <w:szCs w:val="22"/>
              </w:rPr>
            </w:pPr>
            <w:r w:rsidRPr="00AB512F">
              <w:rPr>
                <w:b/>
                <w:bCs/>
                <w:sz w:val="22"/>
                <w:szCs w:val="22"/>
              </w:rPr>
              <w:t>Dimensión</w:t>
            </w:r>
          </w:p>
        </w:tc>
        <w:tc>
          <w:tcPr>
            <w:tcW w:w="3120" w:type="dxa"/>
            <w:tcBorders>
              <w:top w:val="single" w:sz="4" w:space="0" w:color="7F7F7F" w:themeColor="text1" w:themeTint="80"/>
              <w:bottom w:val="single" w:sz="4" w:space="0" w:color="auto"/>
            </w:tcBorders>
          </w:tcPr>
          <w:p w14:paraId="5C080E6F" w14:textId="77777777" w:rsidR="00AB512F" w:rsidRPr="00AB512F" w:rsidRDefault="00AB512F" w:rsidP="002172C2">
            <w:pPr>
              <w:rPr>
                <w:b/>
                <w:bCs/>
                <w:sz w:val="22"/>
                <w:szCs w:val="22"/>
              </w:rPr>
            </w:pPr>
            <w:r w:rsidRPr="00AB512F">
              <w:rPr>
                <w:b/>
                <w:bCs/>
                <w:sz w:val="22"/>
                <w:szCs w:val="22"/>
              </w:rPr>
              <w:t>OJS 3.3.0.21</w:t>
            </w:r>
          </w:p>
        </w:tc>
        <w:tc>
          <w:tcPr>
            <w:tcW w:w="3120" w:type="dxa"/>
            <w:tcBorders>
              <w:top w:val="single" w:sz="4" w:space="0" w:color="7F7F7F" w:themeColor="text1" w:themeTint="80"/>
              <w:bottom w:val="single" w:sz="4" w:space="0" w:color="auto"/>
            </w:tcBorders>
          </w:tcPr>
          <w:p w14:paraId="3C1E91CA" w14:textId="77777777" w:rsidR="00AB512F" w:rsidRPr="00AB512F" w:rsidRDefault="00AB512F" w:rsidP="002172C2">
            <w:pPr>
              <w:rPr>
                <w:b/>
                <w:bCs/>
                <w:sz w:val="22"/>
                <w:szCs w:val="22"/>
              </w:rPr>
            </w:pPr>
            <w:r w:rsidRPr="00AB512F">
              <w:rPr>
                <w:b/>
                <w:bCs/>
                <w:sz w:val="22"/>
                <w:szCs w:val="22"/>
              </w:rPr>
              <w:t>DSpace 7.6.7-SNAPSHOT</w:t>
            </w:r>
          </w:p>
        </w:tc>
      </w:tr>
      <w:tr w:rsidR="00AB512F" w:rsidRPr="00AB512F" w14:paraId="118CCF5C" w14:textId="77777777" w:rsidTr="00AB512F">
        <w:tc>
          <w:tcPr>
            <w:tcW w:w="3120" w:type="dxa"/>
            <w:tcBorders>
              <w:top w:val="single" w:sz="4" w:space="0" w:color="auto"/>
            </w:tcBorders>
          </w:tcPr>
          <w:p w14:paraId="53B44065" w14:textId="77777777" w:rsidR="00AB512F" w:rsidRPr="00AB512F" w:rsidRDefault="00AB512F" w:rsidP="002172C2">
            <w:pPr>
              <w:rPr>
                <w:sz w:val="22"/>
                <w:szCs w:val="22"/>
              </w:rPr>
            </w:pPr>
            <w:r w:rsidRPr="00AB512F">
              <w:rPr>
                <w:sz w:val="22"/>
                <w:szCs w:val="22"/>
              </w:rPr>
              <w:t>Vulnerabilidad de aplicación confirmada</w:t>
            </w:r>
          </w:p>
        </w:tc>
        <w:tc>
          <w:tcPr>
            <w:tcW w:w="3120" w:type="dxa"/>
            <w:tcBorders>
              <w:top w:val="single" w:sz="4" w:space="0" w:color="auto"/>
            </w:tcBorders>
          </w:tcPr>
          <w:p w14:paraId="45175568" w14:textId="77777777" w:rsidR="00AB512F" w:rsidRPr="00AB512F" w:rsidRDefault="00AB512F" w:rsidP="002172C2">
            <w:pPr>
              <w:rPr>
                <w:sz w:val="22"/>
                <w:szCs w:val="22"/>
              </w:rPr>
            </w:pPr>
            <w:r w:rsidRPr="00AB512F">
              <w:rPr>
                <w:sz w:val="22"/>
                <w:szCs w:val="22"/>
              </w:rPr>
              <w:t>CSRF (CVE-2023-6671) + XSS almacenado (CVE-2024-25436)</w:t>
            </w:r>
          </w:p>
        </w:tc>
        <w:tc>
          <w:tcPr>
            <w:tcW w:w="3120" w:type="dxa"/>
            <w:tcBorders>
              <w:top w:val="single" w:sz="4" w:space="0" w:color="auto"/>
            </w:tcBorders>
          </w:tcPr>
          <w:p w14:paraId="2B345425" w14:textId="77777777" w:rsidR="00AB512F" w:rsidRPr="00AB512F" w:rsidRDefault="00AB512F" w:rsidP="002172C2">
            <w:pPr>
              <w:rPr>
                <w:sz w:val="22"/>
                <w:szCs w:val="22"/>
              </w:rPr>
            </w:pPr>
            <w:r w:rsidRPr="00AB512F">
              <w:rPr>
                <w:sz w:val="22"/>
                <w:szCs w:val="22"/>
              </w:rPr>
              <w:t>Ninguna en la evaluación actual</w:t>
            </w:r>
          </w:p>
        </w:tc>
      </w:tr>
      <w:tr w:rsidR="00AB512F" w:rsidRPr="00AB512F" w14:paraId="3DD7A4CF" w14:textId="77777777" w:rsidTr="00AB512F">
        <w:tc>
          <w:tcPr>
            <w:tcW w:w="3120" w:type="dxa"/>
          </w:tcPr>
          <w:p w14:paraId="61FBAD93" w14:textId="77777777" w:rsidR="00AB512F" w:rsidRPr="00AB512F" w:rsidRDefault="00AB512F" w:rsidP="002172C2">
            <w:pPr>
              <w:rPr>
                <w:sz w:val="22"/>
                <w:szCs w:val="22"/>
              </w:rPr>
            </w:pPr>
            <w:r w:rsidRPr="00AB512F">
              <w:rPr>
                <w:sz w:val="22"/>
                <w:szCs w:val="22"/>
              </w:rPr>
              <w:t>Protección CSRF</w:t>
            </w:r>
          </w:p>
        </w:tc>
        <w:tc>
          <w:tcPr>
            <w:tcW w:w="3120" w:type="dxa"/>
          </w:tcPr>
          <w:p w14:paraId="0F3EC03D" w14:textId="77777777" w:rsidR="00AB512F" w:rsidRPr="00AB512F" w:rsidRDefault="00AB512F" w:rsidP="002172C2">
            <w:pPr>
              <w:rPr>
                <w:sz w:val="22"/>
                <w:szCs w:val="22"/>
              </w:rPr>
            </w:pPr>
            <w:r w:rsidRPr="00AB512F">
              <w:rPr>
                <w:sz w:val="22"/>
                <w:szCs w:val="22"/>
              </w:rPr>
              <w:t>Token presente pero no validado</w:t>
            </w:r>
          </w:p>
        </w:tc>
        <w:tc>
          <w:tcPr>
            <w:tcW w:w="3120" w:type="dxa"/>
          </w:tcPr>
          <w:p w14:paraId="7561A3D9" w14:textId="77777777" w:rsidR="00AB512F" w:rsidRPr="00AB512F" w:rsidRDefault="00AB512F" w:rsidP="002172C2">
            <w:pPr>
              <w:rPr>
                <w:sz w:val="22"/>
                <w:szCs w:val="22"/>
              </w:rPr>
            </w:pPr>
            <w:r w:rsidRPr="00AB512F">
              <w:rPr>
                <w:sz w:val="22"/>
                <w:szCs w:val="22"/>
              </w:rPr>
              <w:t>Doble token XSRF validado (rechaza 403)</w:t>
            </w:r>
          </w:p>
        </w:tc>
      </w:tr>
      <w:tr w:rsidR="00AB512F" w:rsidRPr="00AB512F" w14:paraId="4443F4DC" w14:textId="77777777" w:rsidTr="00AB512F">
        <w:tc>
          <w:tcPr>
            <w:tcW w:w="3120" w:type="dxa"/>
          </w:tcPr>
          <w:p w14:paraId="14DA5F1C" w14:textId="77777777" w:rsidR="00AB512F" w:rsidRPr="00AB512F" w:rsidRDefault="00AB512F" w:rsidP="002172C2">
            <w:pPr>
              <w:rPr>
                <w:sz w:val="22"/>
                <w:szCs w:val="22"/>
              </w:rPr>
            </w:pPr>
            <w:r w:rsidRPr="00AB512F">
              <w:rPr>
                <w:sz w:val="22"/>
                <w:szCs w:val="22"/>
              </w:rPr>
              <w:t>Patrón predominante</w:t>
            </w:r>
          </w:p>
        </w:tc>
        <w:tc>
          <w:tcPr>
            <w:tcW w:w="3120" w:type="dxa"/>
          </w:tcPr>
          <w:p w14:paraId="187F7AB5" w14:textId="77777777" w:rsidR="00AB512F" w:rsidRPr="00AB512F" w:rsidRDefault="00AB512F" w:rsidP="002172C2">
            <w:pPr>
              <w:rPr>
                <w:sz w:val="22"/>
                <w:szCs w:val="22"/>
              </w:rPr>
            </w:pPr>
            <w:r w:rsidRPr="00AB512F">
              <w:rPr>
                <w:sz w:val="22"/>
                <w:szCs w:val="22"/>
              </w:rPr>
              <w:t>Misconfiguration + vulnerabilidades de aplicación</w:t>
            </w:r>
          </w:p>
        </w:tc>
        <w:tc>
          <w:tcPr>
            <w:tcW w:w="3120" w:type="dxa"/>
          </w:tcPr>
          <w:p w14:paraId="6D933ACE" w14:textId="77777777" w:rsidR="00AB512F" w:rsidRPr="00AB512F" w:rsidRDefault="00AB512F" w:rsidP="002172C2">
            <w:pPr>
              <w:rPr>
                <w:sz w:val="22"/>
                <w:szCs w:val="22"/>
              </w:rPr>
            </w:pPr>
            <w:r w:rsidRPr="00AB512F">
              <w:rPr>
                <w:sz w:val="22"/>
                <w:szCs w:val="22"/>
              </w:rPr>
              <w:t>Inconsistencia entre capas + divulgación de errores</w:t>
            </w:r>
          </w:p>
        </w:tc>
      </w:tr>
      <w:tr w:rsidR="00AB512F" w:rsidRPr="00AB512F" w14:paraId="20B065D4" w14:textId="77777777" w:rsidTr="00AB512F">
        <w:tc>
          <w:tcPr>
            <w:tcW w:w="3120" w:type="dxa"/>
          </w:tcPr>
          <w:p w14:paraId="7E1577DB" w14:textId="77777777" w:rsidR="00AB512F" w:rsidRPr="00AB512F" w:rsidRDefault="00AB512F" w:rsidP="002172C2">
            <w:pPr>
              <w:rPr>
                <w:sz w:val="22"/>
                <w:szCs w:val="22"/>
              </w:rPr>
            </w:pPr>
            <w:r w:rsidRPr="00AB512F">
              <w:rPr>
                <w:sz w:val="22"/>
                <w:szCs w:val="22"/>
              </w:rPr>
              <w:t>Exposición de versión</w:t>
            </w:r>
          </w:p>
        </w:tc>
        <w:tc>
          <w:tcPr>
            <w:tcW w:w="3120" w:type="dxa"/>
          </w:tcPr>
          <w:p w14:paraId="18A407E5" w14:textId="77777777" w:rsidR="00AB512F" w:rsidRPr="00AB512F" w:rsidRDefault="00AB512F" w:rsidP="002172C2">
            <w:pPr>
              <w:rPr>
                <w:sz w:val="22"/>
                <w:szCs w:val="22"/>
              </w:rPr>
            </w:pPr>
            <w:r w:rsidRPr="00AB512F">
              <w:rPr>
                <w:sz w:val="22"/>
                <w:szCs w:val="22"/>
              </w:rPr>
              <w:t>Apache + PHP en cabeceras HTTP</w:t>
            </w:r>
          </w:p>
        </w:tc>
        <w:tc>
          <w:tcPr>
            <w:tcW w:w="3120" w:type="dxa"/>
          </w:tcPr>
          <w:p w14:paraId="67CF8F11" w14:textId="77777777" w:rsidR="00AB512F" w:rsidRPr="00AB512F" w:rsidRDefault="00AB512F" w:rsidP="002172C2">
            <w:pPr>
              <w:rPr>
                <w:sz w:val="22"/>
                <w:szCs w:val="22"/>
              </w:rPr>
            </w:pPr>
            <w:r w:rsidRPr="00AB512F">
              <w:rPr>
                <w:sz w:val="22"/>
                <w:szCs w:val="22"/>
              </w:rPr>
              <w:t>7.6.7-SNAPSHOT en el cuerpo de la API REST</w:t>
            </w:r>
          </w:p>
        </w:tc>
      </w:tr>
      <w:tr w:rsidR="00AB512F" w:rsidRPr="00AB512F" w14:paraId="340D7310" w14:textId="77777777" w:rsidTr="00AB512F">
        <w:tc>
          <w:tcPr>
            <w:tcW w:w="3120" w:type="dxa"/>
          </w:tcPr>
          <w:p w14:paraId="2A3F4A03" w14:textId="77777777" w:rsidR="00AB512F" w:rsidRPr="00AB512F" w:rsidRDefault="00AB512F" w:rsidP="002172C2">
            <w:pPr>
              <w:rPr>
                <w:sz w:val="22"/>
                <w:szCs w:val="22"/>
              </w:rPr>
            </w:pPr>
            <w:r w:rsidRPr="00AB512F">
              <w:rPr>
                <w:sz w:val="22"/>
                <w:szCs w:val="22"/>
              </w:rPr>
              <w:t>Cabeceras de seguridad</w:t>
            </w:r>
          </w:p>
        </w:tc>
        <w:tc>
          <w:tcPr>
            <w:tcW w:w="3120" w:type="dxa"/>
          </w:tcPr>
          <w:p w14:paraId="59072051" w14:textId="77777777" w:rsidR="00AB512F" w:rsidRPr="00AB512F" w:rsidRDefault="00AB512F" w:rsidP="002172C2">
            <w:pPr>
              <w:rPr>
                <w:sz w:val="22"/>
                <w:szCs w:val="22"/>
              </w:rPr>
            </w:pPr>
            <w:r w:rsidRPr="00AB512F">
              <w:rPr>
                <w:sz w:val="22"/>
                <w:szCs w:val="22"/>
              </w:rPr>
              <w:t>Ausentes en todas las capas</w:t>
            </w:r>
          </w:p>
        </w:tc>
        <w:tc>
          <w:tcPr>
            <w:tcW w:w="3120" w:type="dxa"/>
          </w:tcPr>
          <w:p w14:paraId="016FAB5B" w14:textId="77777777" w:rsidR="00AB512F" w:rsidRPr="00AB512F" w:rsidRDefault="00AB512F" w:rsidP="002172C2">
            <w:pPr>
              <w:rPr>
                <w:sz w:val="22"/>
                <w:szCs w:val="22"/>
              </w:rPr>
            </w:pPr>
            <w:r w:rsidRPr="00AB512F">
              <w:rPr>
                <w:sz w:val="22"/>
                <w:szCs w:val="22"/>
              </w:rPr>
              <w:t>Presentes en el backend; inconsistentes entre rutas y ausentes en el frontend</w:t>
            </w:r>
          </w:p>
        </w:tc>
      </w:tr>
      <w:tr w:rsidR="00AB512F" w:rsidRPr="00AB512F" w14:paraId="1BB8348E" w14:textId="77777777" w:rsidTr="00AB512F">
        <w:tc>
          <w:tcPr>
            <w:tcW w:w="3120" w:type="dxa"/>
          </w:tcPr>
          <w:p w14:paraId="0303FEB7" w14:textId="77777777" w:rsidR="00AB512F" w:rsidRPr="00AB512F" w:rsidRDefault="00AB512F" w:rsidP="002172C2">
            <w:pPr>
              <w:rPr>
                <w:sz w:val="22"/>
                <w:szCs w:val="22"/>
              </w:rPr>
            </w:pPr>
            <w:r w:rsidRPr="00AB512F">
              <w:rPr>
                <w:sz w:val="22"/>
                <w:szCs w:val="22"/>
              </w:rPr>
              <w:t>Content Security Policy</w:t>
            </w:r>
          </w:p>
        </w:tc>
        <w:tc>
          <w:tcPr>
            <w:tcW w:w="3120" w:type="dxa"/>
          </w:tcPr>
          <w:p w14:paraId="4B4F5F8D" w14:textId="77777777" w:rsidR="00AB512F" w:rsidRPr="00AB512F" w:rsidRDefault="00AB512F" w:rsidP="002172C2">
            <w:pPr>
              <w:rPr>
                <w:sz w:val="22"/>
                <w:szCs w:val="22"/>
              </w:rPr>
            </w:pPr>
            <w:r w:rsidRPr="00AB512F">
              <w:rPr>
                <w:sz w:val="22"/>
                <w:szCs w:val="22"/>
              </w:rPr>
              <w:t>Ausente</w:t>
            </w:r>
          </w:p>
        </w:tc>
        <w:tc>
          <w:tcPr>
            <w:tcW w:w="3120" w:type="dxa"/>
          </w:tcPr>
          <w:p w14:paraId="3F1174BC" w14:textId="77777777" w:rsidR="00AB512F" w:rsidRPr="00AB512F" w:rsidRDefault="00AB512F" w:rsidP="002172C2">
            <w:pPr>
              <w:rPr>
                <w:sz w:val="22"/>
                <w:szCs w:val="22"/>
              </w:rPr>
            </w:pPr>
            <w:r w:rsidRPr="00AB512F">
              <w:rPr>
                <w:sz w:val="22"/>
                <w:szCs w:val="22"/>
              </w:rPr>
              <w:t>Ausente</w:t>
            </w:r>
          </w:p>
        </w:tc>
      </w:tr>
      <w:tr w:rsidR="00AB512F" w:rsidRPr="00AB512F" w14:paraId="11D7BA91" w14:textId="77777777" w:rsidTr="00AB512F">
        <w:tc>
          <w:tcPr>
            <w:tcW w:w="3120" w:type="dxa"/>
          </w:tcPr>
          <w:p w14:paraId="04C4E06A" w14:textId="77777777" w:rsidR="00AB512F" w:rsidRPr="00AB512F" w:rsidRDefault="00AB512F" w:rsidP="002172C2">
            <w:pPr>
              <w:rPr>
                <w:sz w:val="22"/>
                <w:szCs w:val="22"/>
              </w:rPr>
            </w:pPr>
            <w:r w:rsidRPr="00AB512F">
              <w:rPr>
                <w:sz w:val="22"/>
                <w:szCs w:val="22"/>
              </w:rPr>
              <w:t>Cifrado TLS</w:t>
            </w:r>
          </w:p>
        </w:tc>
        <w:tc>
          <w:tcPr>
            <w:tcW w:w="3120" w:type="dxa"/>
          </w:tcPr>
          <w:p w14:paraId="0FE1F829" w14:textId="77777777" w:rsidR="00AB512F" w:rsidRPr="00AB512F" w:rsidRDefault="00AB512F" w:rsidP="002172C2">
            <w:pPr>
              <w:rPr>
                <w:sz w:val="22"/>
                <w:szCs w:val="22"/>
              </w:rPr>
            </w:pPr>
            <w:r w:rsidRPr="00AB512F">
              <w:rPr>
                <w:sz w:val="22"/>
                <w:szCs w:val="22"/>
              </w:rPr>
              <w:t>Sin HTTPS</w:t>
            </w:r>
          </w:p>
        </w:tc>
        <w:tc>
          <w:tcPr>
            <w:tcW w:w="3120" w:type="dxa"/>
          </w:tcPr>
          <w:p w14:paraId="6AF9F277" w14:textId="77777777" w:rsidR="00AB512F" w:rsidRPr="00AB512F" w:rsidRDefault="00AB512F" w:rsidP="002172C2">
            <w:pPr>
              <w:rPr>
                <w:sz w:val="22"/>
                <w:szCs w:val="22"/>
              </w:rPr>
            </w:pPr>
            <w:r w:rsidRPr="00AB512F">
              <w:rPr>
                <w:sz w:val="22"/>
                <w:szCs w:val="22"/>
              </w:rPr>
              <w:t>Sin HTTPS</w:t>
            </w:r>
          </w:p>
        </w:tc>
      </w:tr>
      <w:tr w:rsidR="00AB512F" w:rsidRPr="00AB512F" w14:paraId="649F32BD" w14:textId="77777777" w:rsidTr="00AB512F">
        <w:tc>
          <w:tcPr>
            <w:tcW w:w="3120" w:type="dxa"/>
          </w:tcPr>
          <w:p w14:paraId="1C1CFF8E" w14:textId="77777777" w:rsidR="00AB512F" w:rsidRPr="00AB512F" w:rsidRDefault="00AB512F" w:rsidP="002172C2">
            <w:pPr>
              <w:rPr>
                <w:sz w:val="22"/>
                <w:szCs w:val="22"/>
              </w:rPr>
            </w:pPr>
            <w:r w:rsidRPr="00AB512F">
              <w:rPr>
                <w:sz w:val="22"/>
                <w:szCs w:val="22"/>
              </w:rPr>
              <w:t>Alerta más severa del escáner</w:t>
            </w:r>
          </w:p>
        </w:tc>
        <w:tc>
          <w:tcPr>
            <w:tcW w:w="3120" w:type="dxa"/>
          </w:tcPr>
          <w:p w14:paraId="1F84AAE0" w14:textId="77777777" w:rsidR="00AB512F" w:rsidRPr="00AB512F" w:rsidRDefault="00AB512F" w:rsidP="002172C2">
            <w:pPr>
              <w:rPr>
                <w:sz w:val="22"/>
                <w:szCs w:val="22"/>
              </w:rPr>
            </w:pPr>
            <w:r w:rsidRPr="00AB512F">
              <w:rPr>
                <w:sz w:val="22"/>
                <w:szCs w:val="22"/>
              </w:rPr>
              <w:t>Ninguna alta confirmada (Buffer Overflow descartado)</w:t>
            </w:r>
          </w:p>
        </w:tc>
        <w:tc>
          <w:tcPr>
            <w:tcW w:w="3120" w:type="dxa"/>
          </w:tcPr>
          <w:p w14:paraId="3F9C275F" w14:textId="77777777" w:rsidR="00AB512F" w:rsidRPr="00AB512F" w:rsidRDefault="00AB512F" w:rsidP="002172C2">
            <w:pPr>
              <w:rPr>
                <w:sz w:val="22"/>
                <w:szCs w:val="22"/>
              </w:rPr>
            </w:pPr>
            <w:r w:rsidRPr="00AB512F">
              <w:rPr>
                <w:sz w:val="22"/>
                <w:szCs w:val="22"/>
              </w:rPr>
              <w:t>SQL Injection alto (falso positivo confirmado)</w:t>
            </w:r>
          </w:p>
        </w:tc>
      </w:tr>
      <w:tr w:rsidR="00AB512F" w:rsidRPr="00AB512F" w14:paraId="155FD24C" w14:textId="77777777" w:rsidTr="00AB512F">
        <w:tc>
          <w:tcPr>
            <w:tcW w:w="3120" w:type="dxa"/>
          </w:tcPr>
          <w:p w14:paraId="4A6A6496" w14:textId="77777777" w:rsidR="00AB512F" w:rsidRPr="00AB512F" w:rsidRDefault="00AB512F" w:rsidP="002172C2">
            <w:pPr>
              <w:rPr>
                <w:sz w:val="22"/>
                <w:szCs w:val="22"/>
              </w:rPr>
            </w:pPr>
            <w:r w:rsidRPr="00AB512F">
              <w:rPr>
                <w:sz w:val="22"/>
                <w:szCs w:val="22"/>
              </w:rPr>
              <w:t>Perfil de riesgo global</w:t>
            </w:r>
          </w:p>
        </w:tc>
        <w:tc>
          <w:tcPr>
            <w:tcW w:w="3120" w:type="dxa"/>
          </w:tcPr>
          <w:p w14:paraId="6EA1A5DB" w14:textId="77777777" w:rsidR="00AB512F" w:rsidRPr="00AB512F" w:rsidRDefault="00AB512F" w:rsidP="002172C2">
            <w:pPr>
              <w:rPr>
                <w:sz w:val="22"/>
                <w:szCs w:val="22"/>
              </w:rPr>
            </w:pPr>
            <w:r w:rsidRPr="00AB512F">
              <w:rPr>
                <w:sz w:val="22"/>
                <w:szCs w:val="22"/>
              </w:rPr>
              <w:t>Medio-Alto</w:t>
            </w:r>
          </w:p>
        </w:tc>
        <w:tc>
          <w:tcPr>
            <w:tcW w:w="3120" w:type="dxa"/>
          </w:tcPr>
          <w:p w14:paraId="4A64BAD1" w14:textId="77777777" w:rsidR="00AB512F" w:rsidRPr="00AB512F" w:rsidRDefault="00AB512F" w:rsidP="002172C2">
            <w:pPr>
              <w:rPr>
                <w:sz w:val="22"/>
                <w:szCs w:val="22"/>
              </w:rPr>
            </w:pPr>
            <w:r w:rsidRPr="00AB512F">
              <w:rPr>
                <w:sz w:val="22"/>
                <w:szCs w:val="22"/>
              </w:rPr>
              <w:t>Medio</w:t>
            </w:r>
          </w:p>
        </w:tc>
      </w:tr>
    </w:tbl>
    <w:p w14:paraId="5B6A980B" w14:textId="77777777" w:rsidR="00156C62" w:rsidRPr="00345A54" w:rsidRDefault="00156C62">
      <w:pPr>
        <w:rPr>
          <w:rFonts w:ascii="Arial" w:hAnsi="Arial" w:cs="Arial"/>
        </w:rPr>
      </w:pPr>
    </w:p>
    <w:p w14:paraId="5B6A980C" w14:textId="1DF91ACE" w:rsidR="00156C62" w:rsidRDefault="007E67A8">
      <w:pPr>
        <w:spacing w:line="480" w:lineRule="auto"/>
        <w:rPr>
          <w:rFonts w:ascii="Arial" w:hAnsi="Arial" w:cs="Arial"/>
          <w:i/>
          <w:iCs/>
          <w:sz w:val="20"/>
          <w:szCs w:val="20"/>
        </w:rPr>
      </w:pPr>
      <w:r w:rsidRPr="00345A54">
        <w:rPr>
          <w:rFonts w:ascii="Arial" w:hAnsi="Arial" w:cs="Arial"/>
          <w:i/>
          <w:iCs/>
          <w:sz w:val="20"/>
          <w:szCs w:val="20"/>
        </w:rPr>
        <w:t xml:space="preserve">Nota. </w:t>
      </w:r>
      <w:r w:rsidR="00C90975" w:rsidRPr="00C90975">
        <w:rPr>
          <w:rFonts w:ascii="Arial" w:hAnsi="Arial" w:cs="Arial"/>
          <w:i/>
          <w:iCs/>
          <w:sz w:val="20"/>
          <w:szCs w:val="20"/>
        </w:rPr>
        <w:t>Las alertas de mayor severidad del escáner una alta y dos medias se descartaron como falsos positivos en la Fase 3 mediante verificación manual</w:t>
      </w:r>
      <w:r w:rsidRPr="00345A54">
        <w:rPr>
          <w:rFonts w:ascii="Arial" w:hAnsi="Arial" w:cs="Arial"/>
          <w:i/>
          <w:iCs/>
          <w:sz w:val="20"/>
          <w:szCs w:val="20"/>
        </w:rPr>
        <w:t>.</w:t>
      </w:r>
    </w:p>
    <w:p w14:paraId="49C4B2B3" w14:textId="77777777" w:rsidR="00C90975" w:rsidRDefault="00C90975">
      <w:pPr>
        <w:spacing w:line="480" w:lineRule="auto"/>
        <w:rPr>
          <w:rFonts w:ascii="Arial" w:hAnsi="Arial" w:cs="Arial"/>
        </w:rPr>
      </w:pPr>
    </w:p>
    <w:p w14:paraId="28730899" w14:textId="77777777" w:rsidR="00454E6B" w:rsidRPr="00345A54" w:rsidRDefault="00454E6B">
      <w:pPr>
        <w:spacing w:line="480" w:lineRule="auto"/>
        <w:rPr>
          <w:rFonts w:ascii="Arial" w:hAnsi="Arial" w:cs="Arial"/>
        </w:rPr>
      </w:pPr>
    </w:p>
    <w:p w14:paraId="5B6A980D" w14:textId="77777777" w:rsidR="00156C62" w:rsidRPr="00345A54" w:rsidRDefault="00156C62">
      <w:pPr>
        <w:rPr>
          <w:rFonts w:ascii="Arial" w:hAnsi="Arial" w:cs="Arial"/>
        </w:rPr>
      </w:pPr>
    </w:p>
    <w:p w14:paraId="5B6A980E" w14:textId="2DEE041A" w:rsidR="00156C62" w:rsidRPr="00345A54" w:rsidRDefault="007E67A8" w:rsidP="00456163">
      <w:pPr>
        <w:pStyle w:val="Ttulo1"/>
        <w:rPr>
          <w:rFonts w:ascii="Arial" w:hAnsi="Arial" w:cs="Arial"/>
        </w:rPr>
      </w:pPr>
      <w:r w:rsidRPr="00345A54">
        <w:rPr>
          <w:rFonts w:ascii="Arial" w:hAnsi="Arial" w:cs="Arial"/>
        </w:rPr>
        <w:lastRenderedPageBreak/>
        <w:t>Discusión</w:t>
      </w:r>
    </w:p>
    <w:p w14:paraId="5B6A981B" w14:textId="77777777" w:rsidR="00156C62" w:rsidRPr="00345A54" w:rsidRDefault="00156C62">
      <w:pPr>
        <w:rPr>
          <w:rFonts w:ascii="Arial" w:hAnsi="Arial" w:cs="Arial"/>
        </w:rPr>
      </w:pPr>
    </w:p>
    <w:p w14:paraId="0603638E" w14:textId="77777777" w:rsidR="00FA4186" w:rsidRPr="00832B5E" w:rsidRDefault="00FA4186" w:rsidP="00BD7243">
      <w:pPr>
        <w:pStyle w:val="APA7"/>
      </w:pPr>
      <w:r w:rsidRPr="00832B5E">
        <w:t>La vulnerabilidad CSRF de OJS es la de mayor relevancia práctica del estudio, no por tener el CVSS más alto, sino porque cualquier evaluador con conocimiento básico de Burp Suite puede reproducirla en minutos: se intercepta una petición de modificación de estado, se elimina o altera el token csrfToken, y el servidor ejecuta la acción igualmente. Un aspecto merece precisión, porque corrige una interpretación intuitiva: la vulnerabilidad no provino de una versión desactualizada. La instancia ejecutaba OJS 3.3.0.21, una versión vigente de la rama estable, y aun así resultó vulnerable. El origen del riesgo no es la gestión de parches, sino una validación de token ausente en el propio software, agravada por una configuración de despliegue deficiente.</w:t>
      </w:r>
    </w:p>
    <w:p w14:paraId="4B0F03E5" w14:textId="77777777" w:rsidR="00FA4186" w:rsidRPr="00832B5E" w:rsidRDefault="00FA4186" w:rsidP="00BD7243">
      <w:pPr>
        <w:pStyle w:val="APA7"/>
      </w:pPr>
    </w:p>
    <w:p w14:paraId="1A1542B5" w14:textId="77777777" w:rsidR="00FA4186" w:rsidRPr="00832B5E" w:rsidRDefault="00FA4186" w:rsidP="00BD7243">
      <w:pPr>
        <w:pStyle w:val="APA7"/>
      </w:pPr>
      <w:r w:rsidRPr="00832B5E">
        <w:t>Ese matiz desplaza el problema hacia el proceso, aunque no hacia el que suele suponerse. El Public Knowledge Project publica guías de seguridad y libera correcciones (Public Knowledge Project, 2025), pero la vulnerabilidad confirmada persiste en una versión al día. Lo que falta en las instituciones no es solo aplicar parches, sino un ciclo que combine el monitoreo de vulnerabilidades con la verificación de configuración y el endurecimiento posterior al despliegue. Con DSpace, la situación es distinta: su backend REST implementa una defensa en profundidad donde cada control mitiga vectores en su propia capa.</w:t>
      </w:r>
    </w:p>
    <w:p w14:paraId="3CACDD6A" w14:textId="77777777" w:rsidR="00FA4186" w:rsidRPr="00832B5E" w:rsidRDefault="00FA4186" w:rsidP="00BD7243">
      <w:pPr>
        <w:pStyle w:val="APA7"/>
      </w:pPr>
    </w:p>
    <w:p w14:paraId="4EB7062C" w14:textId="77777777" w:rsidR="00FA4186" w:rsidRPr="00832B5E" w:rsidRDefault="00FA4186" w:rsidP="00BD7243">
      <w:pPr>
        <w:pStyle w:val="APA7"/>
      </w:pPr>
      <w:r w:rsidRPr="00832B5E">
        <w:t xml:space="preserve">La protección CSRF mediante doble token es eficaz porque exige que el valor coincida en la cookie y en la cabecera HTTP de forma sincronizada, bloqueando las </w:t>
      </w:r>
      <w:r w:rsidRPr="00832B5E">
        <w:lastRenderedPageBreak/>
        <w:t>peticiones de origen cruzado gracias a la política del mismo origen del navegador. Los encabezados X-Frame-Options y X-Content-Type-Options mitigan el clickjacking y el MIME sniffing, y el control estricto de caché evita la persistencia de datos sensibles en el cliente. El frontend Angular, en cambio, carece de estos controles. Esa fisura entre capas no es un problema de diseño del software, sino la consecuencia de un despliegue que robusteció una capa y descuidó la otra, y solo se detecta al evaluar ambas por separado.</w:t>
      </w:r>
    </w:p>
    <w:p w14:paraId="5E749794" w14:textId="77777777" w:rsidR="00FA4186" w:rsidRPr="00832B5E" w:rsidRDefault="00FA4186" w:rsidP="00BD7243">
      <w:pPr>
        <w:pStyle w:val="APA7"/>
      </w:pPr>
    </w:p>
    <w:p w14:paraId="39E8018D" w14:textId="77777777" w:rsidR="00FA4186" w:rsidRPr="00832B5E" w:rsidRDefault="00FA4186" w:rsidP="00BD7243">
      <w:pPr>
        <w:pStyle w:val="APA7"/>
      </w:pPr>
      <w:r w:rsidRPr="00832B5E">
        <w:t>El caso del SQL Injection en DSpace ilustra el valor de la verificación manual. El escáner reportó una detección automatizada de severidad alta, pero la comprobación arrojó un resultado distinto: el servidor responde con HTTP 500 ante una comilla y con HTTP 200 sin alterar la lógica ante una inyección booleana, sobre un buscador que opera con Solr. No es una inyección explotable. Este tipo de falso positivo, coherente con lo observado por Riadi et al. (2020) y Arromdoni et al. (2024), muestra que el escaneo automatizado, sin una fase de verificación, puede llevar a las instituciones a invertir recursos en vectores inexistentes mientras descuidan los reales.</w:t>
      </w:r>
    </w:p>
    <w:p w14:paraId="14905092" w14:textId="77777777" w:rsidR="00FA4186" w:rsidRPr="00832B5E" w:rsidRDefault="00FA4186" w:rsidP="00BD7243">
      <w:pPr>
        <w:pStyle w:val="APA7"/>
      </w:pPr>
    </w:p>
    <w:p w14:paraId="7F6FBC6A" w14:textId="4D822AEF" w:rsidR="00FA4186" w:rsidRPr="00832B5E" w:rsidRDefault="00FA4186" w:rsidP="00BD7243">
      <w:pPr>
        <w:pStyle w:val="APA7"/>
      </w:pPr>
      <w:r w:rsidRPr="00832B5E">
        <w:t xml:space="preserve">La ausencia de TLS y de Content Security Policy en ambas plataformas es probablemente el problema más elemental del conjunto, y no requiere conocimientos técnicos avanzados para resolverse. Sin HTTPS, el token CSRF viaja en texto plano y puede interceptarse antes de llegar al servidor, lo que invalida parcialmente incluso una protección de autenticación correcta como la de DSpace; sin CSP, un XSS exitoso </w:t>
      </w:r>
      <w:r w:rsidRPr="00832B5E">
        <w:lastRenderedPageBreak/>
        <w:t>como el confirmado en OJS llega al navegador de la víctima sin ninguna capa adicional de contención.</w:t>
      </w:r>
    </w:p>
    <w:p w14:paraId="7C9C245E" w14:textId="77777777" w:rsidR="00FA4186" w:rsidRPr="00832B5E" w:rsidRDefault="00FA4186" w:rsidP="00BD7243">
      <w:pPr>
        <w:pStyle w:val="APA7"/>
      </w:pPr>
    </w:p>
    <w:p w14:paraId="42048870" w14:textId="7E8A2FD5" w:rsidR="004A27B2" w:rsidRPr="00832B5E" w:rsidRDefault="00FA4186" w:rsidP="00BD7243">
      <w:pPr>
        <w:pStyle w:val="APA7"/>
      </w:pPr>
      <w:r w:rsidRPr="00832B5E">
        <w:t>Un límite debe señalarse con claridad. Los campos de metadatos accesibles con autenticación en OJS títulos, resúmenes y palabras clave de manuscritos en revisión no se evaluaron manualmente en este trabajo. Habiendo confirmado un XSS almacenado en el módulo de discusiones, es razonable suponer que otros campos internos compartan la debilidad. Buchyk et al. (2025) señalaron, además, que los plugins de terceros amplían esa superficie sin que nadie la mida sistemáticamente. Ambas líneas requieren una evaluación específica que este estudio no realizó. Debe considerarse, asimismo, que la instancia de DSpace evaluada correspondía a una build de desarrollo (7.6.7-SNAPSHOT), por lo que su comportamiento debería confirmarse sobre un release estable.</w:t>
      </w:r>
    </w:p>
    <w:p w14:paraId="0E2B7125" w14:textId="77777777" w:rsidR="00FA4186" w:rsidRPr="00345A54" w:rsidRDefault="00FA4186" w:rsidP="00FA4186">
      <w:pPr>
        <w:pStyle w:val="Ttulo1"/>
        <w:rPr>
          <w:rFonts w:ascii="Arial" w:hAnsi="Arial" w:cs="Arial"/>
          <w:b w:val="0"/>
          <w:bCs w:val="0"/>
        </w:rPr>
      </w:pPr>
    </w:p>
    <w:p w14:paraId="5B6A981C" w14:textId="45A40FF2" w:rsidR="00156C62" w:rsidRPr="00345A54" w:rsidRDefault="007E67A8" w:rsidP="000C7708">
      <w:pPr>
        <w:pStyle w:val="Ttulo1"/>
        <w:rPr>
          <w:rFonts w:ascii="Arial" w:hAnsi="Arial" w:cs="Arial"/>
        </w:rPr>
      </w:pPr>
      <w:r w:rsidRPr="00345A54">
        <w:rPr>
          <w:rFonts w:ascii="Arial" w:hAnsi="Arial" w:cs="Arial"/>
        </w:rPr>
        <w:t>Conclusiones</w:t>
      </w:r>
    </w:p>
    <w:p w14:paraId="5B6A981D" w14:textId="77777777" w:rsidR="00156C62" w:rsidRPr="00345A54" w:rsidRDefault="00156C62">
      <w:pPr>
        <w:rPr>
          <w:rFonts w:ascii="Arial" w:hAnsi="Arial" w:cs="Arial"/>
        </w:rPr>
      </w:pPr>
    </w:p>
    <w:p w14:paraId="7578AFF2" w14:textId="22864EE1" w:rsidR="00F5550E" w:rsidRPr="00F5550E" w:rsidRDefault="00F5550E" w:rsidP="00F5550E">
      <w:pPr>
        <w:spacing w:line="480" w:lineRule="auto"/>
        <w:ind w:firstLine="720"/>
        <w:jc w:val="both"/>
        <w:rPr>
          <w:rFonts w:ascii="Arial" w:hAnsi="Arial" w:cs="Arial"/>
        </w:rPr>
      </w:pPr>
      <w:r w:rsidRPr="00F5550E">
        <w:rPr>
          <w:rFonts w:ascii="Arial" w:hAnsi="Arial" w:cs="Arial"/>
        </w:rPr>
        <w:t>La evidencia confirma que OJS 3.3.0.21 presenta dos vulnerabilidades de aplicación reproducibles un CSRF no validado (CVE-2023-6671) y un XSS almacenado (CVE-2024-25436), ambas verificadas empíricamente pese a que la instancia ejecutaba una versión vigente de la rama estable. DSpace 7.6.7-SNAPSHOT no presentó vulnerabilidades de aplicación explotables en su superficie no autenticada, y validó correctamente su protección CSRF, pero expone su arquitectura interna sin autenticación y aplica controles de forma inconsistente entre capas.</w:t>
      </w:r>
    </w:p>
    <w:p w14:paraId="3202DE50" w14:textId="77777777" w:rsidR="00F5550E" w:rsidRPr="00F5550E" w:rsidRDefault="00F5550E" w:rsidP="00F5550E">
      <w:pPr>
        <w:spacing w:line="480" w:lineRule="auto"/>
        <w:ind w:firstLine="720"/>
        <w:jc w:val="both"/>
        <w:rPr>
          <w:rFonts w:ascii="Arial" w:hAnsi="Arial" w:cs="Arial"/>
        </w:rPr>
      </w:pPr>
    </w:p>
    <w:p w14:paraId="33175F3B" w14:textId="77777777" w:rsidR="00F5550E" w:rsidRPr="00F5550E" w:rsidRDefault="00F5550E" w:rsidP="00F5550E">
      <w:pPr>
        <w:spacing w:line="480" w:lineRule="auto"/>
        <w:ind w:firstLine="720"/>
        <w:jc w:val="both"/>
        <w:rPr>
          <w:rFonts w:ascii="Arial" w:hAnsi="Arial" w:cs="Arial"/>
        </w:rPr>
      </w:pPr>
      <w:r w:rsidRPr="00F5550E">
        <w:rPr>
          <w:rFonts w:ascii="Arial" w:hAnsi="Arial" w:cs="Arial"/>
        </w:rPr>
        <w:lastRenderedPageBreak/>
        <w:t>Lo que ninguna actualización de software resuelve es la ausencia de un proceso. Las instituciones que gestionan OJS o DSpace sin un ciclo formal de revisión de la NVD, sin un responsable designado de seguridad editorial y sin una política de configuración mínima verificable acumulan riesgo de forma gradual hasta que se materializa en un incidente. La seguridad de la infraestructura editorial académica latinoamericana mejorará cuando las instituciones traten sus plataformas como lo que legalmente son, bajo la Ley 1581 de 2012 y el documento CONPES 3995: sistemas que procesan datos personales en infraestructura crítica, con obligaciones de protección concretas (CONPES, 2020; Congreso de la República de Colombia, 2012).</w:t>
      </w:r>
    </w:p>
    <w:p w14:paraId="088434E3" w14:textId="77777777" w:rsidR="00B01DB5" w:rsidRDefault="00B01DB5" w:rsidP="00F5550E">
      <w:pPr>
        <w:spacing w:line="480" w:lineRule="auto"/>
        <w:ind w:firstLine="720"/>
        <w:jc w:val="both"/>
        <w:rPr>
          <w:rFonts w:ascii="Arial" w:hAnsi="Arial" w:cs="Arial"/>
        </w:rPr>
      </w:pPr>
    </w:p>
    <w:p w14:paraId="352B8AA4" w14:textId="0C9574FF" w:rsidR="00B330F7" w:rsidRDefault="00F5550E" w:rsidP="00F5550E">
      <w:pPr>
        <w:spacing w:line="480" w:lineRule="auto"/>
        <w:ind w:firstLine="720"/>
        <w:jc w:val="both"/>
        <w:rPr>
          <w:rFonts w:ascii="Arial" w:hAnsi="Arial" w:cs="Arial"/>
        </w:rPr>
      </w:pPr>
      <w:r w:rsidRPr="00F5550E">
        <w:rPr>
          <w:rFonts w:ascii="Arial" w:hAnsi="Arial" w:cs="Arial"/>
        </w:rPr>
        <w:t>Cuatro líneas de investigación quedan abiertas: la evaluación de los campos de metadatos autenticados en OJS, el análisis de seguridad del ecosistema de plugins, la evaluación sobre releases estables de DSpace, y un estudio multicaso en instalaciones reales de universidades latinoamericanas que determine si los patrones identificados son representativos de las condiciones de producción.</w:t>
      </w:r>
    </w:p>
    <w:p w14:paraId="6A0B6001" w14:textId="77777777" w:rsidR="00454E6B" w:rsidRDefault="00454E6B" w:rsidP="00F5550E">
      <w:pPr>
        <w:spacing w:line="480" w:lineRule="auto"/>
        <w:ind w:firstLine="720"/>
        <w:jc w:val="both"/>
        <w:rPr>
          <w:rFonts w:ascii="Arial" w:hAnsi="Arial" w:cs="Arial"/>
        </w:rPr>
      </w:pPr>
    </w:p>
    <w:p w14:paraId="292B3391" w14:textId="77777777" w:rsidR="00454E6B" w:rsidRDefault="00454E6B" w:rsidP="00F5550E">
      <w:pPr>
        <w:spacing w:line="480" w:lineRule="auto"/>
        <w:ind w:firstLine="720"/>
        <w:jc w:val="both"/>
        <w:rPr>
          <w:rFonts w:ascii="Arial" w:hAnsi="Arial" w:cs="Arial"/>
        </w:rPr>
      </w:pPr>
    </w:p>
    <w:p w14:paraId="5CDB8CE4" w14:textId="77777777" w:rsidR="00454E6B" w:rsidRDefault="00454E6B" w:rsidP="00F5550E">
      <w:pPr>
        <w:spacing w:line="480" w:lineRule="auto"/>
        <w:ind w:firstLine="720"/>
        <w:jc w:val="both"/>
        <w:rPr>
          <w:rFonts w:ascii="Arial" w:hAnsi="Arial" w:cs="Arial"/>
        </w:rPr>
      </w:pPr>
    </w:p>
    <w:p w14:paraId="6BA36E5B" w14:textId="77777777" w:rsidR="00454E6B" w:rsidRDefault="00454E6B" w:rsidP="00F5550E">
      <w:pPr>
        <w:spacing w:line="480" w:lineRule="auto"/>
        <w:ind w:firstLine="720"/>
        <w:jc w:val="both"/>
        <w:rPr>
          <w:rFonts w:ascii="Arial" w:hAnsi="Arial" w:cs="Arial"/>
        </w:rPr>
      </w:pPr>
    </w:p>
    <w:p w14:paraId="22EE0E93" w14:textId="77777777" w:rsidR="00454E6B" w:rsidRDefault="00454E6B" w:rsidP="00F5550E">
      <w:pPr>
        <w:spacing w:line="480" w:lineRule="auto"/>
        <w:ind w:firstLine="720"/>
        <w:jc w:val="both"/>
        <w:rPr>
          <w:rFonts w:ascii="Arial" w:hAnsi="Arial" w:cs="Arial"/>
        </w:rPr>
      </w:pPr>
    </w:p>
    <w:p w14:paraId="41786D71" w14:textId="77777777" w:rsidR="00454E6B" w:rsidRDefault="00454E6B" w:rsidP="00F5550E">
      <w:pPr>
        <w:spacing w:line="480" w:lineRule="auto"/>
        <w:ind w:firstLine="720"/>
        <w:jc w:val="both"/>
        <w:rPr>
          <w:rFonts w:ascii="Arial" w:hAnsi="Arial" w:cs="Arial"/>
        </w:rPr>
      </w:pPr>
    </w:p>
    <w:p w14:paraId="00A39CF0" w14:textId="77777777" w:rsidR="00454E6B" w:rsidRDefault="00454E6B" w:rsidP="00F5550E">
      <w:pPr>
        <w:spacing w:line="480" w:lineRule="auto"/>
        <w:ind w:firstLine="720"/>
        <w:jc w:val="both"/>
        <w:rPr>
          <w:rFonts w:ascii="Arial" w:hAnsi="Arial" w:cs="Arial"/>
        </w:rPr>
      </w:pPr>
    </w:p>
    <w:p w14:paraId="606208A0" w14:textId="77777777" w:rsidR="00B330F7" w:rsidRDefault="00B330F7" w:rsidP="00F5550E">
      <w:pPr>
        <w:spacing w:line="480" w:lineRule="auto"/>
        <w:ind w:firstLine="720"/>
        <w:jc w:val="both"/>
        <w:rPr>
          <w:rFonts w:ascii="Arial" w:hAnsi="Arial" w:cs="Arial"/>
        </w:rPr>
      </w:pPr>
    </w:p>
    <w:p w14:paraId="29CE2D0B" w14:textId="77777777" w:rsidR="00532198" w:rsidRDefault="00532198" w:rsidP="00B330F7">
      <w:pPr>
        <w:pStyle w:val="Ttulo1"/>
        <w:rPr>
          <w:rFonts w:ascii="Arial" w:hAnsi="Arial" w:cs="Arial"/>
        </w:rPr>
      </w:pPr>
      <w:r w:rsidRPr="00B330F7">
        <w:rPr>
          <w:rFonts w:ascii="Arial" w:hAnsi="Arial" w:cs="Arial"/>
        </w:rPr>
        <w:lastRenderedPageBreak/>
        <w:t>Declaraciones</w:t>
      </w:r>
    </w:p>
    <w:p w14:paraId="3E48BFB1" w14:textId="77777777" w:rsidR="00B330F7" w:rsidRPr="00B330F7" w:rsidRDefault="00B330F7" w:rsidP="00B330F7">
      <w:pPr>
        <w:pStyle w:val="Ttulo1"/>
        <w:rPr>
          <w:rFonts w:ascii="Arial" w:hAnsi="Arial" w:cs="Arial"/>
        </w:rPr>
      </w:pPr>
    </w:p>
    <w:p w14:paraId="69385F6F" w14:textId="4D579066" w:rsidR="00B330F7" w:rsidRPr="00532198" w:rsidRDefault="00532198" w:rsidP="00BD7243">
      <w:pPr>
        <w:pStyle w:val="APA7"/>
      </w:pPr>
      <w:r w:rsidRPr="00454E6B">
        <w:rPr>
          <w:b/>
          <w:bCs/>
        </w:rPr>
        <w:t>Contribución del autor</w:t>
      </w:r>
      <w:r w:rsidRPr="00B330F7">
        <w:t>.</w:t>
      </w:r>
      <w:r w:rsidRPr="00532198">
        <w:t xml:space="preserve"> Conceptualización, J.H.; metodología, J.H.; análisis formal, J.H.; investigación, J.H.; redacción del borrador original, J.H.; redacción, revisión y edición, J.H.</w:t>
      </w:r>
    </w:p>
    <w:p w14:paraId="6C809FE7" w14:textId="77777777" w:rsidR="00532198" w:rsidRPr="00532198" w:rsidRDefault="00532198" w:rsidP="00BD7243">
      <w:pPr>
        <w:pStyle w:val="APA7"/>
      </w:pPr>
      <w:r w:rsidRPr="00454E6B">
        <w:rPr>
          <w:b/>
          <w:bCs/>
        </w:rPr>
        <w:t>Financiamiento.</w:t>
      </w:r>
      <w:r w:rsidRPr="00532198">
        <w:t xml:space="preserve"> Esta investigación no recibió financiamiento externo.</w:t>
      </w:r>
    </w:p>
    <w:p w14:paraId="5015A357" w14:textId="0C094163" w:rsidR="00532198" w:rsidRPr="00532198" w:rsidRDefault="00532198" w:rsidP="00BD7243">
      <w:pPr>
        <w:pStyle w:val="APA7"/>
      </w:pPr>
      <w:r w:rsidRPr="00454E6B">
        <w:rPr>
          <w:b/>
          <w:bCs/>
        </w:rPr>
        <w:t>Disponibilidad de datos</w:t>
      </w:r>
      <w:r w:rsidRPr="00532198">
        <w:t>. Los datos que respaldan los hallazgos de este estudio registros de escaneo, reportes de OWASP ZAP y OpenVAS, y capturas de Burp Suite están disponibles bajo petición al autor de correspondencia.</w:t>
      </w:r>
    </w:p>
    <w:p w14:paraId="455718E2" w14:textId="77777777" w:rsidR="00532198" w:rsidRPr="00532198" w:rsidRDefault="00532198" w:rsidP="00BD7243">
      <w:pPr>
        <w:pStyle w:val="APA7"/>
      </w:pPr>
      <w:r w:rsidRPr="00454E6B">
        <w:rPr>
          <w:b/>
          <w:bCs/>
        </w:rPr>
        <w:t>Conflictos de intereses</w:t>
      </w:r>
      <w:r w:rsidRPr="00532198">
        <w:t>. El autor declara no tener conflictos de intereses.</w:t>
      </w:r>
    </w:p>
    <w:p w14:paraId="11CED252" w14:textId="77777777" w:rsidR="00532198" w:rsidRPr="00532198" w:rsidRDefault="00532198" w:rsidP="00BD7243">
      <w:pPr>
        <w:pStyle w:val="APA7"/>
      </w:pPr>
      <w:r w:rsidRPr="00454E6B">
        <w:rPr>
          <w:b/>
          <w:bCs/>
        </w:rPr>
        <w:t>Declaración del comité de ética</w:t>
      </w:r>
      <w:r w:rsidRPr="00532198">
        <w:t>. No aplica. La investigación es de naturaleza técnica y no involucró seres humanos ni animales; las pruebas se ejecutaron exclusivamente sobre instancias de laboratorio bajo control del autor.</w:t>
      </w:r>
    </w:p>
    <w:p w14:paraId="0BF0A3F2" w14:textId="77777777" w:rsidR="00532198" w:rsidRDefault="00532198" w:rsidP="00BD7243">
      <w:pPr>
        <w:pStyle w:val="APA7"/>
      </w:pPr>
    </w:p>
    <w:p w14:paraId="661E6D7F" w14:textId="77777777" w:rsidR="00454E6B" w:rsidRDefault="00454E6B" w:rsidP="00BD7243">
      <w:pPr>
        <w:pStyle w:val="APA7"/>
      </w:pPr>
    </w:p>
    <w:p w14:paraId="2906A4E8" w14:textId="77777777" w:rsidR="00454E6B" w:rsidRDefault="00454E6B" w:rsidP="00BD7243">
      <w:pPr>
        <w:pStyle w:val="APA7"/>
      </w:pPr>
    </w:p>
    <w:p w14:paraId="02B2C841" w14:textId="77777777" w:rsidR="00454E6B" w:rsidRDefault="00454E6B" w:rsidP="00BD7243">
      <w:pPr>
        <w:pStyle w:val="APA7"/>
      </w:pPr>
    </w:p>
    <w:p w14:paraId="18FEF050" w14:textId="77777777" w:rsidR="00454E6B" w:rsidRDefault="00454E6B" w:rsidP="00BD7243">
      <w:pPr>
        <w:pStyle w:val="APA7"/>
      </w:pPr>
    </w:p>
    <w:p w14:paraId="0423C4DA" w14:textId="77777777" w:rsidR="00454E6B" w:rsidRDefault="00454E6B" w:rsidP="00BD7243">
      <w:pPr>
        <w:pStyle w:val="APA7"/>
      </w:pPr>
    </w:p>
    <w:p w14:paraId="1B643664" w14:textId="77777777" w:rsidR="00454E6B" w:rsidRDefault="00454E6B" w:rsidP="00BD7243">
      <w:pPr>
        <w:pStyle w:val="APA7"/>
      </w:pPr>
    </w:p>
    <w:p w14:paraId="58FCDB48" w14:textId="77777777" w:rsidR="00454E6B" w:rsidRDefault="00454E6B" w:rsidP="00BD7243">
      <w:pPr>
        <w:pStyle w:val="APA7"/>
      </w:pPr>
    </w:p>
    <w:p w14:paraId="672F26ED" w14:textId="77777777" w:rsidR="00454E6B" w:rsidRDefault="00454E6B" w:rsidP="00BD7243">
      <w:pPr>
        <w:pStyle w:val="APA7"/>
      </w:pPr>
    </w:p>
    <w:p w14:paraId="59BCC42A" w14:textId="77777777" w:rsidR="00454E6B" w:rsidRDefault="00454E6B" w:rsidP="00BD7243">
      <w:pPr>
        <w:pStyle w:val="APA7"/>
      </w:pPr>
    </w:p>
    <w:p w14:paraId="58610F40" w14:textId="77777777" w:rsidR="00454E6B" w:rsidRPr="00345A54" w:rsidRDefault="00454E6B" w:rsidP="00BD7243">
      <w:pPr>
        <w:pStyle w:val="APA7"/>
      </w:pPr>
    </w:p>
    <w:p w14:paraId="5B6A9825" w14:textId="77777777" w:rsidR="00156C62" w:rsidRPr="00345A54" w:rsidRDefault="00156C62">
      <w:pPr>
        <w:rPr>
          <w:rFonts w:ascii="Arial" w:hAnsi="Arial" w:cs="Arial"/>
        </w:rPr>
      </w:pPr>
    </w:p>
    <w:p w14:paraId="5B6A9827" w14:textId="44918AB6" w:rsidR="00156C62" w:rsidRPr="00345A54" w:rsidRDefault="007E67A8" w:rsidP="00CD62E9">
      <w:pPr>
        <w:pStyle w:val="Ttulo1"/>
        <w:rPr>
          <w:rFonts w:ascii="Arial" w:hAnsi="Arial" w:cs="Arial"/>
        </w:rPr>
      </w:pPr>
      <w:r w:rsidRPr="00345A54">
        <w:rPr>
          <w:rFonts w:ascii="Arial" w:hAnsi="Arial" w:cs="Arial"/>
        </w:rPr>
        <w:t>Referencias</w:t>
      </w:r>
    </w:p>
    <w:p w14:paraId="5B6A9828" w14:textId="77777777" w:rsidR="00156C62" w:rsidRPr="00345A54" w:rsidRDefault="00156C62">
      <w:pPr>
        <w:rPr>
          <w:rFonts w:ascii="Arial" w:hAnsi="Arial" w:cs="Arial"/>
        </w:rPr>
      </w:pPr>
    </w:p>
    <w:p w14:paraId="5B6A9829" w14:textId="701DA044"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Arromdoni, B. H., Kusuma, M. y Sugiantoro, B. (2024): "Web application vulnerability analysis using the OWASP method (Case Study: OJS CSFD UIN Sunan Kalijaga Yogyakarta)", </w:t>
      </w:r>
      <w:r>
        <w:rPr>
          <w:rFonts w:ascii="Arial" w:hAnsi="Arial" w:cs="Arial"/>
          <w:i/>
        </w:rPr>
        <w:t>Engineering Headway</w:t>
      </w:r>
      <w:r>
        <w:rPr>
          <w:rFonts w:ascii="Arial" w:hAnsi="Arial" w:cs="Arial"/>
          <w:i w:val="0"/>
        </w:rPr>
        <w:t xml:space="preserve">, 6, pp. 211-218. Disponible en: </w:t>
      </w:r>
      <w:hyperlink r:id="rId9" w:history="1">
        <w:r w:rsidR="00975805" w:rsidRPr="00345A54">
          <w:rPr>
            <w:rStyle w:val="Hipervnculo"/>
            <w:rFonts w:ascii="Arial" w:hAnsi="Arial" w:cs="Arial"/>
            <w:lang w:val="en-US"/>
          </w:rPr>
          <w:t>https://doi.org/10.4028/p-FosZ2D</w:t>
        </w:r>
      </w:hyperlink>
      <w:r>
        <w:rPr>
          <w:rFonts w:ascii="Arial" w:hAnsi="Arial" w:cs="Arial"/>
          <w:i w:val="0"/>
        </w:rPr>
        <w:t xml:space="preserve"> [Consulta: 18 de junio de 2026].</w:t>
      </w:r>
    </w:p>
    <w:p w14:paraId="5B6A982A" w14:textId="5D830E36"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Buchyk, S., Ziubina, R., Yuzhakova, T. y Shabanova, A. (2025): "Detection of XSS vulnerabilities in OJS", </w:t>
      </w:r>
      <w:r>
        <w:rPr>
          <w:rFonts w:ascii="Arial" w:hAnsi="Arial" w:cs="Arial"/>
          <w:i/>
        </w:rPr>
        <w:t>International Journal of Electronics and Telecommunication</w:t>
      </w:r>
      <w:r>
        <w:rPr>
          <w:rFonts w:ascii="Arial" w:hAnsi="Arial" w:cs="Arial"/>
          <w:i w:val="0"/>
        </w:rPr>
        <w:t xml:space="preserve">, 71(1), pp. 101-106. Disponible en: </w:t>
      </w:r>
      <w:hyperlink r:id="rId10" w:history="1">
        <w:r w:rsidR="00975805" w:rsidRPr="00345A54">
          <w:rPr>
            <w:rStyle w:val="Hipervnculo"/>
            <w:rFonts w:ascii="Arial" w:hAnsi="Arial" w:cs="Arial"/>
            <w:lang w:val="en-US"/>
          </w:rPr>
          <w:t>https://doi.org/10.24425/ijet.2025.153548</w:t>
        </w:r>
      </w:hyperlink>
      <w:r>
        <w:rPr>
          <w:rFonts w:ascii="Arial" w:hAnsi="Arial" w:cs="Arial"/>
          <w:i w:val="0"/>
        </w:rPr>
        <w:t xml:space="preserve"> [Consulta: 18 de junio de 2026].</w:t>
      </w:r>
    </w:p>
    <w:p w14:paraId="5B6A982B" w14:textId="77777777" w:rsidR="00156C62" w:rsidRPr="00345A54" w:rsidRDefault="007E67A8">
      <w:pPr>
        <w:spacing w:line="480" w:lineRule="auto"/>
        <w:ind w:left="720" w:hanging="720"/>
        <w:jc w:val="both"/>
        <w:rPr>
          <w:rFonts w:ascii="Arial" w:hAnsi="Arial" w:cs="Arial"/>
        </w:rPr>
      </w:pPr>
      <w:r>
        <w:rPr>
          <w:rFonts w:ascii="Arial" w:hAnsi="Arial" w:cs="Arial"/>
          <w:i w:val="0"/>
        </w:rPr>
        <w:t xml:space="preserve">Congreso de la República de Colombia (2009): </w:t>
      </w:r>
      <w:r>
        <w:rPr>
          <w:rFonts w:ascii="Arial" w:hAnsi="Arial" w:cs="Arial"/>
          <w:i/>
        </w:rPr>
        <w:t>Ley 1273 de 2009</w:t>
      </w:r>
      <w:r>
        <w:rPr>
          <w:rFonts w:ascii="Arial" w:hAnsi="Arial" w:cs="Arial"/>
          <w:i w:val="0"/>
        </w:rPr>
        <w:t>, Diario Oficial No. 47.223.</w:t>
      </w:r>
    </w:p>
    <w:p w14:paraId="5B6A982C" w14:textId="77777777" w:rsidR="00156C62" w:rsidRPr="00345A54" w:rsidRDefault="007E67A8">
      <w:pPr>
        <w:spacing w:line="480" w:lineRule="auto"/>
        <w:ind w:left="720" w:hanging="720"/>
        <w:jc w:val="both"/>
        <w:rPr>
          <w:rFonts w:ascii="Arial" w:hAnsi="Arial" w:cs="Arial"/>
        </w:rPr>
      </w:pPr>
      <w:r>
        <w:rPr>
          <w:rFonts w:ascii="Arial" w:hAnsi="Arial" w:cs="Arial"/>
          <w:i w:val="0"/>
        </w:rPr>
        <w:t xml:space="preserve">Congreso de la República de Colombia (2012): </w:t>
      </w:r>
      <w:r>
        <w:rPr>
          <w:rFonts w:ascii="Arial" w:hAnsi="Arial" w:cs="Arial"/>
          <w:i/>
        </w:rPr>
        <w:t>Ley 1581 de 2012</w:t>
      </w:r>
      <w:r>
        <w:rPr>
          <w:rFonts w:ascii="Arial" w:hAnsi="Arial" w:cs="Arial"/>
          <w:i w:val="0"/>
        </w:rPr>
        <w:t>, Diario Oficial No. 48.587.</w:t>
      </w:r>
    </w:p>
    <w:p w14:paraId="5B6A982D" w14:textId="77777777" w:rsidR="00156C62" w:rsidRPr="00345A54" w:rsidRDefault="007E67A8">
      <w:pPr>
        <w:spacing w:line="480" w:lineRule="auto"/>
        <w:ind w:left="720" w:hanging="720"/>
        <w:jc w:val="both"/>
        <w:rPr>
          <w:rFonts w:ascii="Arial" w:hAnsi="Arial" w:cs="Arial"/>
        </w:rPr>
      </w:pPr>
      <w:r>
        <w:rPr>
          <w:rFonts w:ascii="Arial" w:hAnsi="Arial" w:cs="Arial"/>
          <w:i w:val="0"/>
        </w:rPr>
        <w:t xml:space="preserve">Consejo Nacional de Política Económica y Social (2020): </w:t>
      </w:r>
      <w:r>
        <w:rPr>
          <w:rFonts w:ascii="Arial" w:hAnsi="Arial" w:cs="Arial"/>
          <w:i/>
        </w:rPr>
        <w:t>Política Nacional de Confianza y Seguridad Digital (Documento CONPES 3995)</w:t>
      </w:r>
      <w:r>
        <w:rPr>
          <w:rFonts w:ascii="Arial" w:hAnsi="Arial" w:cs="Arial"/>
          <w:i w:val="0"/>
        </w:rPr>
        <w:t>, Departamento Nacional de Planeación.</w:t>
      </w:r>
    </w:p>
    <w:p w14:paraId="5B6A982E" w14:textId="2709CF10" w:rsidR="00156C62" w:rsidRPr="00345A54" w:rsidRDefault="007E67A8">
      <w:pPr>
        <w:spacing w:line="480" w:lineRule="auto"/>
        <w:ind w:left="720" w:hanging="720"/>
        <w:jc w:val="both"/>
        <w:rPr>
          <w:rFonts w:ascii="Arial" w:hAnsi="Arial" w:cs="Arial"/>
        </w:rPr>
      </w:pPr>
      <w:r>
        <w:rPr>
          <w:rFonts w:ascii="Arial" w:hAnsi="Arial" w:cs="Arial"/>
          <w:i w:val="0"/>
        </w:rPr>
        <w:t xml:space="preserve">DSpace Community (2023): </w:t>
      </w:r>
      <w:r>
        <w:rPr>
          <w:rFonts w:ascii="Arial" w:hAnsi="Arial" w:cs="Arial"/>
          <w:i/>
        </w:rPr>
        <w:t>About DSpace</w:t>
      </w:r>
      <w:r>
        <w:rPr>
          <w:rFonts w:ascii="Arial" w:hAnsi="Arial" w:cs="Arial"/>
          <w:i w:val="0"/>
        </w:rPr>
        <w:t xml:space="preserve">. Disponible en: </w:t>
      </w:r>
      <w:hyperlink r:id="rId11" w:history="1">
        <w:r w:rsidR="007535DB" w:rsidRPr="00345A54">
          <w:rPr>
            <w:rStyle w:val="Hipervnculo"/>
            <w:rFonts w:ascii="Arial" w:hAnsi="Arial" w:cs="Arial"/>
          </w:rPr>
          <w:t>https://dspace.org/join-the-community/</w:t>
        </w:r>
      </w:hyperlink>
      <w:r>
        <w:rPr>
          <w:rFonts w:ascii="Arial" w:hAnsi="Arial" w:cs="Arial"/>
          <w:i w:val="0"/>
        </w:rPr>
        <w:t xml:space="preserve"> [Consulta: 18 de junio de 2026].</w:t>
      </w:r>
    </w:p>
    <w:p w14:paraId="5B6A982F" w14:textId="685CEFEF"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Forum of Incident Response and Security Teams (2019): </w:t>
      </w:r>
      <w:r>
        <w:rPr>
          <w:rFonts w:ascii="Arial" w:hAnsi="Arial" w:cs="Arial"/>
          <w:i/>
        </w:rPr>
        <w:t>Common Vulnerability Scoring System v3.1: Specification Document</w:t>
      </w:r>
      <w:r>
        <w:rPr>
          <w:rFonts w:ascii="Arial" w:hAnsi="Arial" w:cs="Arial"/>
          <w:i w:val="0"/>
        </w:rPr>
        <w:t xml:space="preserve">. Disponible en: </w:t>
      </w:r>
      <w:hyperlink r:id="rId12" w:history="1">
        <w:r w:rsidR="0048378C" w:rsidRPr="00345A54">
          <w:rPr>
            <w:rStyle w:val="Hipervnculo"/>
            <w:rFonts w:ascii="Arial" w:hAnsi="Arial" w:cs="Arial"/>
            <w:lang w:val="en-US"/>
          </w:rPr>
          <w:t>https://www.first.org/cvss/specification-document</w:t>
        </w:r>
      </w:hyperlink>
      <w:r>
        <w:rPr>
          <w:rFonts w:ascii="Arial" w:hAnsi="Arial" w:cs="Arial"/>
          <w:i w:val="0"/>
        </w:rPr>
        <w:t xml:space="preserve"> [Consulta: 18 de junio de 2026].</w:t>
      </w:r>
    </w:p>
    <w:p w14:paraId="5B6A9830" w14:textId="5E121CB0" w:rsidR="00156C62" w:rsidRPr="00345A54" w:rsidRDefault="007E67A8">
      <w:pPr>
        <w:spacing w:line="480" w:lineRule="auto"/>
        <w:ind w:left="720" w:hanging="720"/>
        <w:jc w:val="both"/>
        <w:rPr>
          <w:rFonts w:ascii="Arial" w:hAnsi="Arial" w:cs="Arial"/>
        </w:rPr>
      </w:pPr>
      <w:r>
        <w:rPr>
          <w:rFonts w:ascii="Arial" w:hAnsi="Arial" w:cs="Arial"/>
          <w:i w:val="0"/>
        </w:rPr>
        <w:t xml:space="preserve">Formanek, M. y Zaborsky, M. (2017): "Web interface security vulnerabilities of European academic repositories", </w:t>
      </w:r>
      <w:r>
        <w:rPr>
          <w:rFonts w:ascii="Arial" w:hAnsi="Arial" w:cs="Arial"/>
          <w:i/>
        </w:rPr>
        <w:t>LIBER Quarterly</w:t>
      </w:r>
      <w:r>
        <w:rPr>
          <w:rFonts w:ascii="Arial" w:hAnsi="Arial" w:cs="Arial"/>
          <w:i w:val="0"/>
        </w:rPr>
        <w:t xml:space="preserve">, 27(1), pp. 45-57. Disponible en: </w:t>
      </w:r>
      <w:hyperlink r:id="rId13" w:history="1">
        <w:r w:rsidR="0048378C" w:rsidRPr="00345A54">
          <w:rPr>
            <w:rStyle w:val="Hipervnculo"/>
            <w:rFonts w:ascii="Arial" w:hAnsi="Arial" w:cs="Arial"/>
          </w:rPr>
          <w:t>https://doi.org/10.18352/lq.10178</w:t>
        </w:r>
      </w:hyperlink>
      <w:r>
        <w:rPr>
          <w:rFonts w:ascii="Arial" w:hAnsi="Arial" w:cs="Arial"/>
          <w:i w:val="0"/>
        </w:rPr>
        <w:t xml:space="preserve"> [Consulta: 18 de junio de 2026].</w:t>
      </w:r>
    </w:p>
    <w:p w14:paraId="5B6A9831" w14:textId="0049DC90"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Hernández-Sampieri, R., Mendoza, C. y Torres, P. (2018): </w:t>
      </w:r>
      <w:r>
        <w:rPr>
          <w:rFonts w:ascii="Arial" w:hAnsi="Arial" w:cs="Arial"/>
          <w:i/>
        </w:rPr>
        <w:t>Metodología de la investigación</w:t>
      </w:r>
      <w:r>
        <w:rPr>
          <w:rFonts w:ascii="Arial" w:hAnsi="Arial" w:cs="Arial"/>
          <w:i w:val="0"/>
        </w:rPr>
        <w:t>, 7.ª ed., McGraw-Hill.</w:t>
      </w:r>
    </w:p>
    <w:p w14:paraId="5B6A9832" w14:textId="5548DF22" w:rsidR="00156C62" w:rsidRPr="00345A54" w:rsidRDefault="007E67A8" w:rsidP="000333D2">
      <w:pPr>
        <w:spacing w:line="480" w:lineRule="auto"/>
        <w:ind w:left="720" w:hanging="720"/>
        <w:rPr>
          <w:rFonts w:ascii="Arial" w:hAnsi="Arial" w:cs="Arial"/>
          <w:lang w:val="en-US"/>
        </w:rPr>
      </w:pPr>
      <w:r>
        <w:rPr>
          <w:rFonts w:ascii="Arial" w:hAnsi="Arial" w:cs="Arial"/>
          <w:i w:val="0"/>
        </w:rPr>
        <w:t xml:space="preserve">ISO/IEC (2023): </w:t>
      </w:r>
      <w:r>
        <w:rPr>
          <w:rFonts w:ascii="Arial" w:hAnsi="Arial" w:cs="Arial"/>
          <w:i/>
        </w:rPr>
        <w:t>ISO/IEC 27032:2023 – Guidelines for Internet security</w:t>
      </w:r>
      <w:r>
        <w:rPr>
          <w:rFonts w:ascii="Arial" w:hAnsi="Arial" w:cs="Arial"/>
          <w:i w:val="0"/>
        </w:rPr>
        <w:t xml:space="preserve">. Disponible en: </w:t>
      </w:r>
      <w:hyperlink r:id="rId14" w:history="1">
        <w:r w:rsidR="001B7896" w:rsidRPr="00345A54">
          <w:rPr>
            <w:rStyle w:val="Hipervnculo"/>
            <w:rFonts w:ascii="Arial" w:hAnsi="Arial" w:cs="Arial"/>
            <w:lang w:val="en-US"/>
          </w:rPr>
          <w:t>https://www.iso.org/standard/76070.html</w:t>
        </w:r>
      </w:hyperlink>
      <w:r>
        <w:rPr>
          <w:rFonts w:ascii="Arial" w:hAnsi="Arial" w:cs="Arial"/>
          <w:i w:val="0"/>
        </w:rPr>
        <w:t xml:space="preserve"> [Consulta: 18 de junio de 2026].</w:t>
      </w:r>
    </w:p>
    <w:p w14:paraId="5B6A9833" w14:textId="1891A994" w:rsidR="00156C62" w:rsidRPr="00345A54" w:rsidRDefault="007E67A8" w:rsidP="000333D2">
      <w:pPr>
        <w:spacing w:line="480" w:lineRule="auto"/>
        <w:ind w:left="720" w:hanging="720"/>
        <w:rPr>
          <w:rFonts w:ascii="Arial" w:hAnsi="Arial" w:cs="Arial"/>
          <w:lang w:val="en-US"/>
        </w:rPr>
      </w:pPr>
      <w:r>
        <w:rPr>
          <w:rFonts w:ascii="Arial" w:hAnsi="Arial" w:cs="Arial"/>
          <w:i w:val="0"/>
        </w:rPr>
        <w:t xml:space="preserve">ISO/IEC (2022): </w:t>
      </w:r>
      <w:r>
        <w:rPr>
          <w:rFonts w:ascii="Arial" w:hAnsi="Arial" w:cs="Arial"/>
          <w:i/>
        </w:rPr>
        <w:t>ISO/IEC 27001:2022 – Information security, cybersecurity and privacy protection — Information security management systems — Requirements</w:t>
      </w:r>
      <w:r>
        <w:rPr>
          <w:rFonts w:ascii="Arial" w:hAnsi="Arial" w:cs="Arial"/>
          <w:i w:val="0"/>
        </w:rPr>
        <w:t xml:space="preserve">. Disponible en: </w:t>
      </w:r>
      <w:hyperlink r:id="rId15" w:history="1">
        <w:r w:rsidR="001C57F4" w:rsidRPr="00345A54">
          <w:rPr>
            <w:rStyle w:val="Hipervnculo"/>
            <w:rFonts w:ascii="Arial" w:hAnsi="Arial" w:cs="Arial"/>
            <w:lang w:val="en-US"/>
          </w:rPr>
          <w:t>https://www.iso.org/isoiec-27001-information-security.html</w:t>
        </w:r>
      </w:hyperlink>
      <w:r>
        <w:rPr>
          <w:rFonts w:ascii="Arial" w:hAnsi="Arial" w:cs="Arial"/>
          <w:i w:val="0"/>
        </w:rPr>
        <w:t xml:space="preserve"> [Consulta: 18 de junio de 2026].</w:t>
      </w:r>
    </w:p>
    <w:p w14:paraId="5B6A9834" w14:textId="7711AD07" w:rsidR="00156C62" w:rsidRPr="00345A54" w:rsidRDefault="007E67A8" w:rsidP="000333D2">
      <w:pPr>
        <w:spacing w:line="480" w:lineRule="auto"/>
        <w:ind w:left="720" w:hanging="720"/>
        <w:rPr>
          <w:rFonts w:ascii="Arial" w:hAnsi="Arial" w:cs="Arial"/>
          <w:lang w:val="en-US"/>
        </w:rPr>
      </w:pPr>
      <w:r>
        <w:rPr>
          <w:rFonts w:ascii="Arial" w:hAnsi="Arial" w:cs="Arial"/>
          <w:i w:val="0"/>
        </w:rPr>
        <w:t xml:space="preserve">MITRE Corporation (2023): </w:t>
      </w:r>
      <w:r>
        <w:rPr>
          <w:rFonts w:ascii="Arial" w:hAnsi="Arial" w:cs="Arial"/>
          <w:i/>
        </w:rPr>
        <w:t>ATT&amp;CK® knowledge base</w:t>
      </w:r>
      <w:r>
        <w:rPr>
          <w:rFonts w:ascii="Arial" w:hAnsi="Arial" w:cs="Arial"/>
          <w:i w:val="0"/>
        </w:rPr>
        <w:t xml:space="preserve">. Disponible en: </w:t>
      </w:r>
      <w:hyperlink r:id="rId16" w:history="1">
        <w:r w:rsidR="001C57F4" w:rsidRPr="00345A54">
          <w:rPr>
            <w:rStyle w:val="Hipervnculo"/>
            <w:rFonts w:ascii="Arial" w:hAnsi="Arial" w:cs="Arial"/>
            <w:lang w:val="en-US"/>
          </w:rPr>
          <w:t>https://attack.mitre.org/</w:t>
        </w:r>
      </w:hyperlink>
      <w:r>
        <w:rPr>
          <w:rFonts w:ascii="Arial" w:hAnsi="Arial" w:cs="Arial"/>
          <w:i w:val="0"/>
        </w:rPr>
        <w:t xml:space="preserve"> [Consulta: 18 de junio de 2026].</w:t>
      </w:r>
    </w:p>
    <w:p w14:paraId="5B6A9835" w14:textId="7431692C"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Institute of Standards and Technology (2026): </w:t>
      </w:r>
      <w:r>
        <w:rPr>
          <w:rFonts w:ascii="Arial" w:hAnsi="Arial" w:cs="Arial"/>
          <w:i/>
        </w:rPr>
        <w:t>National Vulnerability Database</w:t>
      </w:r>
      <w:r>
        <w:rPr>
          <w:rFonts w:ascii="Arial" w:hAnsi="Arial" w:cs="Arial"/>
          <w:i w:val="0"/>
        </w:rPr>
        <w:t xml:space="preserve">. Disponible en: </w:t>
      </w:r>
      <w:hyperlink r:id="rId17" w:history="1">
        <w:r w:rsidR="001C57F4" w:rsidRPr="00345A54">
          <w:rPr>
            <w:rStyle w:val="Hipervnculo"/>
            <w:rFonts w:ascii="Arial" w:hAnsi="Arial" w:cs="Arial"/>
            <w:lang w:val="en-US"/>
          </w:rPr>
          <w:t>https://nvd.nist.gov/</w:t>
        </w:r>
      </w:hyperlink>
      <w:r>
        <w:rPr>
          <w:rFonts w:ascii="Arial" w:hAnsi="Arial" w:cs="Arial"/>
          <w:i w:val="0"/>
        </w:rPr>
        <w:t xml:space="preserve"> [Consulta: 18 de junio de 2026].</w:t>
      </w:r>
    </w:p>
    <w:p w14:paraId="5B6A9836" w14:textId="7DA899B8"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(2024a): </w:t>
      </w:r>
      <w:r>
        <w:rPr>
          <w:rFonts w:ascii="Arial" w:hAnsi="Arial" w:cs="Arial"/>
          <w:i/>
        </w:rPr>
        <w:t>CVE-2024-24511 detail</w:t>
      </w:r>
      <w:r>
        <w:rPr>
          <w:rFonts w:ascii="Arial" w:hAnsi="Arial" w:cs="Arial"/>
          <w:i w:val="0"/>
        </w:rPr>
        <w:t xml:space="preserve">. Disponible en: </w:t>
      </w:r>
      <w:hyperlink r:id="rId23" w:history="1">
        <w:r w:rsidR="001C57F4" w:rsidRPr="00345A54">
          <w:rPr>
            <w:rStyle w:val="Hipervnculo"/>
            <w:rFonts w:ascii="Arial" w:hAnsi="Arial" w:cs="Arial"/>
            <w:lang w:val="en-US"/>
          </w:rPr>
          <w:t>https://nvd.nist.gov/vuln/detail/CVE-2024-24511</w:t>
        </w:r>
      </w:hyperlink>
      <w:r>
        <w:rPr>
          <w:rFonts w:ascii="Arial" w:hAnsi="Arial" w:cs="Arial"/>
          <w:i w:val="0"/>
        </w:rPr>
        <w:t xml:space="preserve"> [Consulta: 18 de junio de 2026].</w:t>
      </w:r>
    </w:p>
    <w:p w14:paraId="5B6A9837" w14:textId="4D77043E"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(2024b): </w:t>
      </w:r>
      <w:r>
        <w:rPr>
          <w:rFonts w:ascii="Arial" w:hAnsi="Arial" w:cs="Arial"/>
          <w:i/>
        </w:rPr>
        <w:t>CVE-2024-25436 detail</w:t>
      </w:r>
      <w:r>
        <w:rPr>
          <w:rFonts w:ascii="Arial" w:hAnsi="Arial" w:cs="Arial"/>
          <w:i w:val="0"/>
        </w:rPr>
        <w:t xml:space="preserve">. Disponible en: </w:t>
      </w:r>
      <w:hyperlink r:id="rId24" w:history="1">
        <w:r w:rsidR="001C57F4" w:rsidRPr="00345A54">
          <w:rPr>
            <w:rStyle w:val="Hipervnculo"/>
            <w:rFonts w:ascii="Arial" w:hAnsi="Arial" w:cs="Arial"/>
            <w:lang w:val="en-US"/>
          </w:rPr>
          <w:t>https://nvd.nist.gov/vuln/detail/CVE-2024-25436</w:t>
        </w:r>
      </w:hyperlink>
      <w:r>
        <w:rPr>
          <w:rFonts w:ascii="Arial" w:hAnsi="Arial" w:cs="Arial"/>
          <w:i w:val="0"/>
        </w:rPr>
        <w:t xml:space="preserve"> [Consulta: 18 de junio de 2026].</w:t>
      </w:r>
    </w:p>
    <w:p w14:paraId="5B6A9838" w14:textId="7BED2BAC"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(2023a): </w:t>
      </w:r>
      <w:r>
        <w:rPr>
          <w:rFonts w:ascii="Arial" w:hAnsi="Arial" w:cs="Arial"/>
          <w:i/>
        </w:rPr>
        <w:t>CVE-2023-5626 detail</w:t>
      </w:r>
      <w:r>
        <w:rPr>
          <w:rFonts w:ascii="Arial" w:hAnsi="Arial" w:cs="Arial"/>
          <w:i w:val="0"/>
        </w:rPr>
        <w:t xml:space="preserve">. Disponible en: </w:t>
      </w:r>
      <w:hyperlink r:id="rId20" w:history="1">
        <w:r w:rsidR="001C57F4" w:rsidRPr="00345A54">
          <w:rPr>
            <w:rStyle w:val="Hipervnculo"/>
            <w:rFonts w:ascii="Arial" w:hAnsi="Arial" w:cs="Arial"/>
            <w:lang w:val="en-US"/>
          </w:rPr>
          <w:t>https://nvd.nist.gov/vuln/detail/CVE-2023-5626</w:t>
        </w:r>
      </w:hyperlink>
      <w:r>
        <w:rPr>
          <w:rFonts w:ascii="Arial" w:hAnsi="Arial" w:cs="Arial"/>
          <w:i w:val="0"/>
        </w:rPr>
        <w:t xml:space="preserve"> [Consulta: 18 de junio de 2026].</w:t>
      </w:r>
    </w:p>
    <w:p w14:paraId="5B6A9839" w14:textId="734E4BF8"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(2023b): </w:t>
      </w:r>
      <w:r>
        <w:rPr>
          <w:rFonts w:ascii="Arial" w:hAnsi="Arial" w:cs="Arial"/>
          <w:i/>
        </w:rPr>
        <w:t>CVE-2023-5894 detail</w:t>
      </w:r>
      <w:r>
        <w:rPr>
          <w:rFonts w:ascii="Arial" w:hAnsi="Arial" w:cs="Arial"/>
          <w:i w:val="0"/>
        </w:rPr>
        <w:t xml:space="preserve">. Disponible en: </w:t>
      </w:r>
      <w:hyperlink r:id="rId21" w:history="1">
        <w:r w:rsidR="001C57F4" w:rsidRPr="00345A54">
          <w:rPr>
            <w:rStyle w:val="Hipervnculo"/>
            <w:rFonts w:ascii="Arial" w:hAnsi="Arial" w:cs="Arial"/>
            <w:lang w:val="en-US"/>
          </w:rPr>
          <w:t>https://nvd.nist.gov/vuln/detail/CVE-2023-5894</w:t>
        </w:r>
      </w:hyperlink>
      <w:r>
        <w:rPr>
          <w:rFonts w:ascii="Arial" w:hAnsi="Arial" w:cs="Arial"/>
          <w:i w:val="0"/>
        </w:rPr>
        <w:t xml:space="preserve"> [Consulta: 18 de junio de 2026].</w:t>
      </w:r>
    </w:p>
    <w:p w14:paraId="5B6A983A" w14:textId="5B2CD9E9"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(2023c): </w:t>
      </w:r>
      <w:r>
        <w:rPr>
          <w:rFonts w:ascii="Arial" w:hAnsi="Arial" w:cs="Arial"/>
          <w:i/>
        </w:rPr>
        <w:t>CVE-2023-6671 detail</w:t>
      </w:r>
      <w:r>
        <w:rPr>
          <w:rFonts w:ascii="Arial" w:hAnsi="Arial" w:cs="Arial"/>
          <w:i w:val="0"/>
        </w:rPr>
        <w:t xml:space="preserve">. Disponible en: </w:t>
      </w:r>
      <w:hyperlink r:id="rId22" w:history="1">
        <w:r w:rsidR="001C57F4" w:rsidRPr="00345A54">
          <w:rPr>
            <w:rStyle w:val="Hipervnculo"/>
            <w:rFonts w:ascii="Arial" w:hAnsi="Arial" w:cs="Arial"/>
            <w:lang w:val="en-US"/>
          </w:rPr>
          <w:t>https://nvd.nist.gov/vuln/detail/CVE-2023-6671</w:t>
        </w:r>
      </w:hyperlink>
      <w:r>
        <w:rPr>
          <w:rFonts w:ascii="Arial" w:hAnsi="Arial" w:cs="Arial"/>
          <w:i w:val="0"/>
        </w:rPr>
        <w:t xml:space="preserve"> [Consulta: 18 de junio de 2026].</w:t>
      </w:r>
    </w:p>
    <w:p w14:paraId="5B6A983B" w14:textId="54B59B3C"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(2022a): </w:t>
      </w:r>
      <w:r>
        <w:rPr>
          <w:rFonts w:ascii="Arial" w:hAnsi="Arial" w:cs="Arial"/>
          <w:i/>
        </w:rPr>
        <w:t>CVE-2022-31193 detail</w:t>
      </w:r>
      <w:r>
        <w:rPr>
          <w:rFonts w:ascii="Arial" w:hAnsi="Arial" w:cs="Arial"/>
          <w:i w:val="0"/>
        </w:rPr>
        <w:t xml:space="preserve">. Disponible en: </w:t>
      </w:r>
      <w:hyperlink r:id="rId18" w:history="1">
        <w:r w:rsidR="001C57F4" w:rsidRPr="00345A54">
          <w:rPr>
            <w:rStyle w:val="Hipervnculo"/>
            <w:rFonts w:ascii="Arial" w:hAnsi="Arial" w:cs="Arial"/>
            <w:lang w:val="en-US"/>
          </w:rPr>
          <w:t>https://nvd.nist.gov/vuln/detail/CVE-2022-31193</w:t>
        </w:r>
      </w:hyperlink>
      <w:r>
        <w:rPr>
          <w:rFonts w:ascii="Arial" w:hAnsi="Arial" w:cs="Arial"/>
          <w:i w:val="0"/>
        </w:rPr>
        <w:t xml:space="preserve"> [Consulta: 18 de junio de 2026].</w:t>
      </w:r>
    </w:p>
    <w:p w14:paraId="5B6A983C" w14:textId="18E743C2" w:rsidR="00156C62" w:rsidRPr="00345A54" w:rsidRDefault="007E67A8" w:rsidP="00A015F4">
      <w:pPr>
        <w:spacing w:line="480" w:lineRule="auto"/>
        <w:ind w:left="720" w:hanging="720"/>
        <w:rPr>
          <w:rFonts w:ascii="Arial" w:hAnsi="Arial" w:cs="Arial"/>
          <w:lang w:val="en-US"/>
        </w:rPr>
      </w:pPr>
      <w:r>
        <w:rPr>
          <w:rFonts w:ascii="Arial" w:hAnsi="Arial" w:cs="Arial"/>
          <w:i w:val="0"/>
        </w:rPr>
        <w:t xml:space="preserve">National Vulnerability Database (2022b): </w:t>
      </w:r>
      <w:r>
        <w:rPr>
          <w:rFonts w:ascii="Arial" w:hAnsi="Arial" w:cs="Arial"/>
          <w:i/>
        </w:rPr>
        <w:t>CVE-2022-31194 detail</w:t>
      </w:r>
      <w:r>
        <w:rPr>
          <w:rFonts w:ascii="Arial" w:hAnsi="Arial" w:cs="Arial"/>
          <w:i w:val="0"/>
        </w:rPr>
        <w:t xml:space="preserve">. Disponible en: </w:t>
      </w:r>
      <w:hyperlink r:id="rId19" w:history="1">
        <w:r w:rsidR="001C57F4" w:rsidRPr="00345A54">
          <w:rPr>
            <w:rStyle w:val="Hipervnculo"/>
            <w:rFonts w:ascii="Arial" w:hAnsi="Arial" w:cs="Arial"/>
            <w:lang w:val="en-US"/>
          </w:rPr>
          <w:t>https://nvd.nist.gov/vuln/detail/CVE-2022-31194</w:t>
        </w:r>
      </w:hyperlink>
      <w:r>
        <w:rPr>
          <w:rFonts w:ascii="Arial" w:hAnsi="Arial" w:cs="Arial"/>
          <w:i w:val="0"/>
        </w:rPr>
        <w:t xml:space="preserve"> [Consulta: 18 de junio de 2026].</w:t>
      </w:r>
    </w:p>
    <w:p w14:paraId="5B6A983D" w14:textId="3C33BFDF"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OWASP Foundation (2021a): </w:t>
      </w:r>
      <w:r>
        <w:rPr>
          <w:rFonts w:ascii="Arial" w:hAnsi="Arial" w:cs="Arial"/>
          <w:i/>
        </w:rPr>
        <w:t>OWASP Top Ten 2021</w:t>
      </w:r>
      <w:r>
        <w:rPr>
          <w:rFonts w:ascii="Arial" w:hAnsi="Arial" w:cs="Arial"/>
          <w:i w:val="0"/>
        </w:rPr>
        <w:t xml:space="preserve">. Disponible en: </w:t>
      </w:r>
      <w:hyperlink r:id="rId25" w:history="1">
        <w:r w:rsidR="001C57F4" w:rsidRPr="00345A54">
          <w:rPr>
            <w:rStyle w:val="Hipervnculo"/>
            <w:rFonts w:ascii="Arial" w:hAnsi="Arial" w:cs="Arial"/>
            <w:lang w:val="en-US"/>
          </w:rPr>
          <w:t>https://owasp.org/Top10/</w:t>
        </w:r>
      </w:hyperlink>
      <w:r>
        <w:rPr>
          <w:rFonts w:ascii="Arial" w:hAnsi="Arial" w:cs="Arial"/>
          <w:i w:val="0"/>
        </w:rPr>
        <w:t xml:space="preserve"> [Consulta: 18 de junio de 2026].</w:t>
      </w:r>
    </w:p>
    <w:p w14:paraId="5B6A983E" w14:textId="5524CED8" w:rsidR="00156C62" w:rsidRPr="00345A54" w:rsidRDefault="007E67A8">
      <w:pPr>
        <w:spacing w:line="480" w:lineRule="auto"/>
        <w:ind w:left="720" w:hanging="720"/>
        <w:jc w:val="both"/>
        <w:rPr>
          <w:rFonts w:ascii="Arial" w:hAnsi="Arial" w:cs="Arial"/>
          <w:lang w:val="en-US"/>
        </w:rPr>
      </w:pPr>
      <w:r>
        <w:rPr>
          <w:rFonts w:ascii="Arial" w:hAnsi="Arial" w:cs="Arial"/>
          <w:i w:val="0"/>
        </w:rPr>
        <w:t xml:space="preserve">OWASP Foundation (2021b): </w:t>
      </w:r>
      <w:r>
        <w:rPr>
          <w:rFonts w:ascii="Arial" w:hAnsi="Arial" w:cs="Arial"/>
          <w:i/>
        </w:rPr>
        <w:t>OWASP Web Security Testing Guide v5.0</w:t>
      </w:r>
      <w:r>
        <w:rPr>
          <w:rFonts w:ascii="Arial" w:hAnsi="Arial" w:cs="Arial"/>
          <w:i w:val="0"/>
        </w:rPr>
        <w:t xml:space="preserve">. Disponible en: </w:t>
      </w:r>
      <w:hyperlink r:id="rId26" w:history="1">
        <w:r w:rsidR="001C57F4" w:rsidRPr="00345A54">
          <w:rPr>
            <w:rStyle w:val="Hipervnculo"/>
            <w:rFonts w:ascii="Arial" w:hAnsi="Arial" w:cs="Arial"/>
            <w:lang w:val="en-US"/>
          </w:rPr>
          <w:t>https://owasp.org/www-project-web-security-testing-guide/</w:t>
        </w:r>
      </w:hyperlink>
      <w:r>
        <w:rPr>
          <w:rFonts w:ascii="Arial" w:hAnsi="Arial" w:cs="Arial"/>
          <w:i w:val="0"/>
        </w:rPr>
        <w:t xml:space="preserve"> [Consulta: 18 de junio de 2026].</w:t>
      </w:r>
    </w:p>
    <w:p w14:paraId="5B6A983F" w14:textId="28DD1BE0" w:rsidR="00156C62" w:rsidRPr="00345A54" w:rsidRDefault="007E67A8">
      <w:pPr>
        <w:spacing w:line="480" w:lineRule="auto"/>
        <w:ind w:left="720" w:hanging="720"/>
        <w:jc w:val="both"/>
        <w:rPr>
          <w:rFonts w:ascii="Arial" w:hAnsi="Arial" w:cs="Arial"/>
        </w:rPr>
      </w:pPr>
      <w:r>
        <w:rPr>
          <w:rFonts w:ascii="Arial" w:hAnsi="Arial" w:cs="Arial"/>
          <w:i w:val="0"/>
        </w:rPr>
        <w:t xml:space="preserve">Public Knowledge Project (s. f.): </w:t>
      </w:r>
      <w:r>
        <w:rPr>
          <w:rFonts w:ascii="Arial" w:hAnsi="Arial" w:cs="Arial"/>
          <w:i/>
        </w:rPr>
        <w:t>Open Journal Systems</w:t>
      </w:r>
      <w:r>
        <w:rPr>
          <w:rFonts w:ascii="Arial" w:hAnsi="Arial" w:cs="Arial"/>
          <w:i w:val="0"/>
        </w:rPr>
        <w:t xml:space="preserve">. Disponible en: </w:t>
      </w:r>
      <w:hyperlink r:id="rId27" w:history="1">
        <w:r w:rsidR="00F163F4" w:rsidRPr="00345A54">
          <w:rPr>
            <w:rStyle w:val="Hipervnculo"/>
            <w:rFonts w:ascii="Arial" w:hAnsi="Arial" w:cs="Arial"/>
          </w:rPr>
          <w:t>https://pkp.sfu.ca/software/ojs/</w:t>
        </w:r>
      </w:hyperlink>
      <w:r>
        <w:rPr>
          <w:rFonts w:ascii="Arial" w:hAnsi="Arial" w:cs="Arial"/>
          <w:i w:val="0"/>
        </w:rPr>
        <w:t xml:space="preserve"> [Consulta: 18 de junio de 2026].</w:t>
      </w:r>
    </w:p>
    <w:p w14:paraId="5B6A9841" w14:textId="57256B24" w:rsidR="00156C62" w:rsidRPr="00345A54" w:rsidRDefault="007E67A8">
      <w:pPr>
        <w:spacing w:line="480" w:lineRule="auto"/>
        <w:ind w:left="720" w:hanging="720"/>
        <w:jc w:val="both"/>
        <w:rPr>
          <w:rFonts w:ascii="Arial" w:hAnsi="Arial" w:cs="Arial"/>
        </w:rPr>
      </w:pPr>
      <w:r>
        <w:rPr>
          <w:rFonts w:ascii="Arial" w:hAnsi="Arial" w:cs="Arial"/>
          <w:i w:val="0"/>
        </w:rPr>
        <w:t xml:space="preserve">Riadi, I., Yudhana, A. y W, Y. (2020): "Analisis keamanan website Open Journal System menggunakan metode vulnerability assessment", </w:t>
      </w:r>
      <w:r>
        <w:rPr>
          <w:rFonts w:ascii="Arial" w:hAnsi="Arial" w:cs="Arial"/>
          <w:i/>
        </w:rPr>
        <w:t>Jurnal Teknologi Informasi dan Ilmu Komputer</w:t>
      </w:r>
      <w:r>
        <w:rPr>
          <w:rFonts w:ascii="Arial" w:hAnsi="Arial" w:cs="Arial"/>
          <w:i w:val="0"/>
        </w:rPr>
        <w:t xml:space="preserve">, 7(4), pp. 853-860. Disponible en: </w:t>
      </w:r>
      <w:hyperlink r:id="rId28" w:history="1">
        <w:r w:rsidR="001C57F4" w:rsidRPr="00345A54">
          <w:rPr>
            <w:rStyle w:val="Hipervnculo"/>
            <w:rFonts w:ascii="Arial" w:hAnsi="Arial" w:cs="Arial"/>
          </w:rPr>
          <w:t>https://doi.org/10.25126/jtiik.2020701928</w:t>
        </w:r>
      </w:hyperlink>
      <w:r>
        <w:rPr>
          <w:rFonts w:ascii="Arial" w:hAnsi="Arial" w:cs="Arial"/>
          <w:i w:val="0"/>
        </w:rPr>
        <w:t xml:space="preserve"> [Consulta: 18 de junio de 2026].</w:t>
      </w:r>
    </w:p>
    <w:sectPr w:rsidR="00156C62" w:rsidRPr="00345A54">
      <w:headerReference w:type="default" r:id="rId29"/>
      <w:footerReference w:type="default" r:id="rId3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FFC2" w14:textId="77777777" w:rsidR="00E447A9" w:rsidRDefault="00E447A9">
      <w:r>
        <w:separator/>
      </w:r>
    </w:p>
  </w:endnote>
  <w:endnote w:type="continuationSeparator" w:id="0">
    <w:p w14:paraId="50BA241B" w14:textId="77777777" w:rsidR="00E447A9" w:rsidRDefault="00E4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9843" w14:textId="1DC4A1A0" w:rsidR="00156C62" w:rsidRDefault="007E67A8">
    <w:pPr>
      <w:pBdr>
        <w:top w:val="single" w:sz="4" w:space="8" w:color="AAAAAA"/>
      </w:pBdr>
      <w:jc w:val="center"/>
    </w:pPr>
    <w:r>
      <w:rPr>
        <w:sz w:val="20"/>
        <w:szCs w:val="20"/>
      </w:rPr>
      <w:t xml:space="preserve">Página </w:t>
    </w:r>
    <w:r>
      <w:rPr>
        <w:sz w:val="20"/>
        <w:szCs w:val="20"/>
      </w:rPr>
      <w:fldChar w:fldCharType="begin"/>
    </w:r>
    <w:r>
      <w:rPr>
        <w:sz w:val="20"/>
        <w:szCs w:val="20"/>
      </w:rPr>
      <w:instrText>PAGE</w:instrText>
    </w:r>
    <w:r>
      <w:rPr>
        <w:sz w:val="20"/>
        <w:szCs w:val="20"/>
      </w:rPr>
      <w:fldChar w:fldCharType="separate"/>
    </w:r>
    <w:r w:rsidR="00297A3F">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D278" w14:textId="77777777" w:rsidR="00E447A9" w:rsidRDefault="00E447A9">
      <w:r>
        <w:separator/>
      </w:r>
    </w:p>
  </w:footnote>
  <w:footnote w:type="continuationSeparator" w:id="0">
    <w:p w14:paraId="418A57A5" w14:textId="77777777" w:rsidR="00E447A9" w:rsidRDefault="00E447A9">
      <w:r>
        <w:continuationSeparator/>
      </w:r>
    </w:p>
  </w:footnote>
  <w:footnote w:id="1">
    <w:p w14:paraId="4770509A" w14:textId="62AD6083" w:rsidR="00F9431B" w:rsidRDefault="00F9431B">
      <w:pPr>
        <w:pStyle w:val="Textonotapie"/>
      </w:pPr>
      <w:r>
        <w:rPr>
          <w:rStyle w:val="Refdenotaalpie"/>
        </w:rPr>
        <w:footnoteRef/>
      </w:r>
      <w:r>
        <w:t xml:space="preserve"> Ingeniero de sistemas</w:t>
      </w:r>
      <w:r w:rsidR="00E7125F">
        <w:t xml:space="preserve">, especialista en seguridad informática, estudiante de la maestría en </w:t>
      </w:r>
      <w:r w:rsidR="00326A1E">
        <w:t>Ciberseguridad</w:t>
      </w:r>
      <w:r w:rsidR="00E7125F">
        <w:t xml:space="preserve"> de la Universidad Nacional Abierta </w:t>
      </w:r>
      <w:r w:rsidR="00975805">
        <w:t>y Distancia</w:t>
      </w:r>
      <w:r w:rsidR="00E7125F">
        <w:t>, se desempeña como docente y administrador del sistema de publicaciones del Sello Editorial UNAD</w:t>
      </w:r>
      <w:r w:rsidR="00326A1E">
        <w:t xml:space="preserve"> e-mail: </w:t>
      </w:r>
      <w:hyperlink r:id="rId1" w:history="1">
        <w:r w:rsidR="00326A1E" w:rsidRPr="0046160D">
          <w:rPr>
            <w:rStyle w:val="Hipervnculo"/>
          </w:rPr>
          <w:t>jorgeliecerhernandezp@gmail.com</w:t>
        </w:r>
      </w:hyperlink>
      <w:r w:rsidR="00326A1E">
        <w:t xml:space="preserve"> ORCID: </w:t>
      </w:r>
      <w:hyperlink r:id="rId2" w:history="1">
        <w:r w:rsidR="00326A1E" w:rsidRPr="0046160D">
          <w:rPr>
            <w:rStyle w:val="Hipervnculo"/>
          </w:rPr>
          <w:t>https://orcid.org/0000-0003-3198-7007</w:t>
        </w:r>
      </w:hyperlink>
      <w:r w:rsidR="00326A1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9842" w14:textId="77777777" w:rsidR="00156C62" w:rsidRDefault="007E67A8">
    <w:pPr>
      <w:pBdr>
        <w:bottom w:val="single" w:sz="4" w:space="8" w:color="AAAAAA"/>
      </w:pBdr>
      <w:jc w:val="right"/>
    </w:pPr>
    <w:r>
      <w:rPr>
        <w:i/>
        <w:iCs/>
        <w:sz w:val="20"/>
        <w:szCs w:val="20"/>
      </w:rPr>
      <w:t>Análisis comparativo de vulnerabilidades en gestores editoriales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C0045"/>
    <w:multiLevelType w:val="hybridMultilevel"/>
    <w:tmpl w:val="F39E9602"/>
    <w:lvl w:ilvl="0" w:tplc="40DA726C">
      <w:start w:val="1"/>
      <w:numFmt w:val="bullet"/>
      <w:lvlText w:val="●"/>
      <w:lvlJc w:val="left"/>
      <w:pPr>
        <w:ind w:left="720" w:hanging="360"/>
      </w:pPr>
    </w:lvl>
    <w:lvl w:ilvl="1" w:tplc="1C88EB14">
      <w:start w:val="1"/>
      <w:numFmt w:val="bullet"/>
      <w:lvlText w:val="○"/>
      <w:lvlJc w:val="left"/>
      <w:pPr>
        <w:ind w:left="1440" w:hanging="360"/>
      </w:pPr>
    </w:lvl>
    <w:lvl w:ilvl="2" w:tplc="13F04A20">
      <w:start w:val="1"/>
      <w:numFmt w:val="bullet"/>
      <w:lvlText w:val="■"/>
      <w:lvlJc w:val="left"/>
      <w:pPr>
        <w:ind w:left="2160" w:hanging="360"/>
      </w:pPr>
    </w:lvl>
    <w:lvl w:ilvl="3" w:tplc="26D07DE8">
      <w:start w:val="1"/>
      <w:numFmt w:val="bullet"/>
      <w:lvlText w:val="●"/>
      <w:lvlJc w:val="left"/>
      <w:pPr>
        <w:ind w:left="2880" w:hanging="360"/>
      </w:pPr>
    </w:lvl>
    <w:lvl w:ilvl="4" w:tplc="B838DADE">
      <w:start w:val="1"/>
      <w:numFmt w:val="bullet"/>
      <w:lvlText w:val="○"/>
      <w:lvlJc w:val="left"/>
      <w:pPr>
        <w:ind w:left="3600" w:hanging="360"/>
      </w:pPr>
    </w:lvl>
    <w:lvl w:ilvl="5" w:tplc="3744B5AE">
      <w:start w:val="1"/>
      <w:numFmt w:val="bullet"/>
      <w:lvlText w:val="■"/>
      <w:lvlJc w:val="left"/>
      <w:pPr>
        <w:ind w:left="4320" w:hanging="360"/>
      </w:pPr>
    </w:lvl>
    <w:lvl w:ilvl="6" w:tplc="8D080C60">
      <w:start w:val="1"/>
      <w:numFmt w:val="bullet"/>
      <w:lvlText w:val="●"/>
      <w:lvlJc w:val="left"/>
      <w:pPr>
        <w:ind w:left="5040" w:hanging="360"/>
      </w:pPr>
    </w:lvl>
    <w:lvl w:ilvl="7" w:tplc="1AACC218">
      <w:start w:val="1"/>
      <w:numFmt w:val="bullet"/>
      <w:lvlText w:val="●"/>
      <w:lvlJc w:val="left"/>
      <w:pPr>
        <w:ind w:left="5760" w:hanging="360"/>
      </w:pPr>
    </w:lvl>
    <w:lvl w:ilvl="8" w:tplc="A37C47E8">
      <w:start w:val="1"/>
      <w:numFmt w:val="bullet"/>
      <w:lvlText w:val="●"/>
      <w:lvlJc w:val="left"/>
      <w:pPr>
        <w:ind w:left="6480" w:hanging="360"/>
      </w:pPr>
    </w:lvl>
  </w:abstractNum>
  <w:num w:numId="1" w16cid:durableId="19235653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C62"/>
    <w:rsid w:val="00004227"/>
    <w:rsid w:val="00021886"/>
    <w:rsid w:val="00027EB8"/>
    <w:rsid w:val="000333D2"/>
    <w:rsid w:val="00033EFE"/>
    <w:rsid w:val="00034AED"/>
    <w:rsid w:val="000531A2"/>
    <w:rsid w:val="000611CF"/>
    <w:rsid w:val="00075486"/>
    <w:rsid w:val="000B1224"/>
    <w:rsid w:val="000C67BD"/>
    <w:rsid w:val="000C7708"/>
    <w:rsid w:val="000D15D9"/>
    <w:rsid w:val="000E08C3"/>
    <w:rsid w:val="000E23B0"/>
    <w:rsid w:val="000F17AA"/>
    <w:rsid w:val="000F2EB0"/>
    <w:rsid w:val="000F6667"/>
    <w:rsid w:val="0011310A"/>
    <w:rsid w:val="00123E0E"/>
    <w:rsid w:val="00124E68"/>
    <w:rsid w:val="0013111B"/>
    <w:rsid w:val="00143D0F"/>
    <w:rsid w:val="00154507"/>
    <w:rsid w:val="00156C62"/>
    <w:rsid w:val="00157771"/>
    <w:rsid w:val="00160D4C"/>
    <w:rsid w:val="001743A0"/>
    <w:rsid w:val="001A49C3"/>
    <w:rsid w:val="001A4F21"/>
    <w:rsid w:val="001A7960"/>
    <w:rsid w:val="001B7896"/>
    <w:rsid w:val="001C1882"/>
    <w:rsid w:val="001C4E72"/>
    <w:rsid w:val="001C57F4"/>
    <w:rsid w:val="001D5F96"/>
    <w:rsid w:val="001D77FC"/>
    <w:rsid w:val="001F30C0"/>
    <w:rsid w:val="001F3207"/>
    <w:rsid w:val="0021108C"/>
    <w:rsid w:val="00222E54"/>
    <w:rsid w:val="00226950"/>
    <w:rsid w:val="00241471"/>
    <w:rsid w:val="00254370"/>
    <w:rsid w:val="00265D23"/>
    <w:rsid w:val="00284702"/>
    <w:rsid w:val="002922D6"/>
    <w:rsid w:val="00297A3F"/>
    <w:rsid w:val="002A744E"/>
    <w:rsid w:val="002B4F56"/>
    <w:rsid w:val="002D11A2"/>
    <w:rsid w:val="002D37AD"/>
    <w:rsid w:val="002E0FD3"/>
    <w:rsid w:val="00326A1E"/>
    <w:rsid w:val="00330249"/>
    <w:rsid w:val="00333DFA"/>
    <w:rsid w:val="00336AD4"/>
    <w:rsid w:val="00342035"/>
    <w:rsid w:val="00345A54"/>
    <w:rsid w:val="00357096"/>
    <w:rsid w:val="0036708F"/>
    <w:rsid w:val="00385303"/>
    <w:rsid w:val="0039170D"/>
    <w:rsid w:val="003974C9"/>
    <w:rsid w:val="003B41BA"/>
    <w:rsid w:val="003D1CD6"/>
    <w:rsid w:val="003D440B"/>
    <w:rsid w:val="003D5313"/>
    <w:rsid w:val="00416F2F"/>
    <w:rsid w:val="004173DC"/>
    <w:rsid w:val="004243C5"/>
    <w:rsid w:val="004304BF"/>
    <w:rsid w:val="00436C3B"/>
    <w:rsid w:val="00440027"/>
    <w:rsid w:val="00454E6B"/>
    <w:rsid w:val="00455CA5"/>
    <w:rsid w:val="00456163"/>
    <w:rsid w:val="00470993"/>
    <w:rsid w:val="00477FC9"/>
    <w:rsid w:val="0048378C"/>
    <w:rsid w:val="00483879"/>
    <w:rsid w:val="004913BD"/>
    <w:rsid w:val="004974EA"/>
    <w:rsid w:val="004A27B2"/>
    <w:rsid w:val="004B2163"/>
    <w:rsid w:val="004C3218"/>
    <w:rsid w:val="004D4F71"/>
    <w:rsid w:val="004E1615"/>
    <w:rsid w:val="004F02AA"/>
    <w:rsid w:val="00516855"/>
    <w:rsid w:val="00532198"/>
    <w:rsid w:val="00533DDD"/>
    <w:rsid w:val="00534BB7"/>
    <w:rsid w:val="00540EB3"/>
    <w:rsid w:val="00560910"/>
    <w:rsid w:val="00574995"/>
    <w:rsid w:val="0059449E"/>
    <w:rsid w:val="005A54D3"/>
    <w:rsid w:val="005B1CF0"/>
    <w:rsid w:val="005B5C7B"/>
    <w:rsid w:val="005E5E64"/>
    <w:rsid w:val="005F4F98"/>
    <w:rsid w:val="006064B7"/>
    <w:rsid w:val="00626017"/>
    <w:rsid w:val="00633179"/>
    <w:rsid w:val="00633A94"/>
    <w:rsid w:val="006420B6"/>
    <w:rsid w:val="00651A7D"/>
    <w:rsid w:val="00663FC4"/>
    <w:rsid w:val="006A3420"/>
    <w:rsid w:val="006B1573"/>
    <w:rsid w:val="006D5130"/>
    <w:rsid w:val="006F0304"/>
    <w:rsid w:val="0072479A"/>
    <w:rsid w:val="00733106"/>
    <w:rsid w:val="007449CC"/>
    <w:rsid w:val="007535DB"/>
    <w:rsid w:val="007649F6"/>
    <w:rsid w:val="007739A7"/>
    <w:rsid w:val="007756A0"/>
    <w:rsid w:val="00775748"/>
    <w:rsid w:val="007846B1"/>
    <w:rsid w:val="007B2734"/>
    <w:rsid w:val="007C30BC"/>
    <w:rsid w:val="007D184E"/>
    <w:rsid w:val="007D6268"/>
    <w:rsid w:val="007E67A8"/>
    <w:rsid w:val="007F6906"/>
    <w:rsid w:val="00805E8B"/>
    <w:rsid w:val="00824A11"/>
    <w:rsid w:val="00832B5E"/>
    <w:rsid w:val="008465E0"/>
    <w:rsid w:val="00863E25"/>
    <w:rsid w:val="00867D62"/>
    <w:rsid w:val="008871CF"/>
    <w:rsid w:val="00896330"/>
    <w:rsid w:val="00897162"/>
    <w:rsid w:val="008A00D6"/>
    <w:rsid w:val="008B4120"/>
    <w:rsid w:val="008E2261"/>
    <w:rsid w:val="008F5B73"/>
    <w:rsid w:val="008F5E41"/>
    <w:rsid w:val="00911DA1"/>
    <w:rsid w:val="009307F1"/>
    <w:rsid w:val="00930F94"/>
    <w:rsid w:val="00934830"/>
    <w:rsid w:val="00940005"/>
    <w:rsid w:val="00942FCD"/>
    <w:rsid w:val="00972961"/>
    <w:rsid w:val="00975805"/>
    <w:rsid w:val="00977C00"/>
    <w:rsid w:val="00984B54"/>
    <w:rsid w:val="00986A0A"/>
    <w:rsid w:val="009916C6"/>
    <w:rsid w:val="00992FC2"/>
    <w:rsid w:val="00996CDC"/>
    <w:rsid w:val="009A3DFC"/>
    <w:rsid w:val="009A5539"/>
    <w:rsid w:val="009B2EF1"/>
    <w:rsid w:val="009B512C"/>
    <w:rsid w:val="009C22B0"/>
    <w:rsid w:val="009E3755"/>
    <w:rsid w:val="009E443C"/>
    <w:rsid w:val="009E4D06"/>
    <w:rsid w:val="009E5A50"/>
    <w:rsid w:val="00A0061E"/>
    <w:rsid w:val="00A015F4"/>
    <w:rsid w:val="00A10D65"/>
    <w:rsid w:val="00A12011"/>
    <w:rsid w:val="00A2139D"/>
    <w:rsid w:val="00A36672"/>
    <w:rsid w:val="00A43365"/>
    <w:rsid w:val="00A436BC"/>
    <w:rsid w:val="00A4478C"/>
    <w:rsid w:val="00A4529D"/>
    <w:rsid w:val="00A56FC5"/>
    <w:rsid w:val="00A65DCD"/>
    <w:rsid w:val="00A96B01"/>
    <w:rsid w:val="00AA2136"/>
    <w:rsid w:val="00AA2AC5"/>
    <w:rsid w:val="00AA4671"/>
    <w:rsid w:val="00AB19FC"/>
    <w:rsid w:val="00AB512F"/>
    <w:rsid w:val="00AC0B46"/>
    <w:rsid w:val="00AC1598"/>
    <w:rsid w:val="00AD7CD0"/>
    <w:rsid w:val="00B002A8"/>
    <w:rsid w:val="00B007D7"/>
    <w:rsid w:val="00B00820"/>
    <w:rsid w:val="00B01DB5"/>
    <w:rsid w:val="00B045C9"/>
    <w:rsid w:val="00B04DA9"/>
    <w:rsid w:val="00B076FE"/>
    <w:rsid w:val="00B10D0B"/>
    <w:rsid w:val="00B30F0C"/>
    <w:rsid w:val="00B330F7"/>
    <w:rsid w:val="00B3486E"/>
    <w:rsid w:val="00B37070"/>
    <w:rsid w:val="00B40732"/>
    <w:rsid w:val="00B73489"/>
    <w:rsid w:val="00B73B4D"/>
    <w:rsid w:val="00B83971"/>
    <w:rsid w:val="00B852F3"/>
    <w:rsid w:val="00B9322B"/>
    <w:rsid w:val="00B949B5"/>
    <w:rsid w:val="00BA0937"/>
    <w:rsid w:val="00BD0532"/>
    <w:rsid w:val="00BD316F"/>
    <w:rsid w:val="00BD7243"/>
    <w:rsid w:val="00BD75EC"/>
    <w:rsid w:val="00BE26A9"/>
    <w:rsid w:val="00BE5D1B"/>
    <w:rsid w:val="00BF2846"/>
    <w:rsid w:val="00BF3F6F"/>
    <w:rsid w:val="00BF4C0D"/>
    <w:rsid w:val="00BF4D35"/>
    <w:rsid w:val="00C0797A"/>
    <w:rsid w:val="00C1396B"/>
    <w:rsid w:val="00C25F30"/>
    <w:rsid w:val="00C26D45"/>
    <w:rsid w:val="00C4429F"/>
    <w:rsid w:val="00C6345A"/>
    <w:rsid w:val="00C63ECE"/>
    <w:rsid w:val="00C731E0"/>
    <w:rsid w:val="00C90975"/>
    <w:rsid w:val="00C9273A"/>
    <w:rsid w:val="00C92E1C"/>
    <w:rsid w:val="00C9323A"/>
    <w:rsid w:val="00CA31F6"/>
    <w:rsid w:val="00CC0546"/>
    <w:rsid w:val="00CC7C5D"/>
    <w:rsid w:val="00CD62E9"/>
    <w:rsid w:val="00CD711C"/>
    <w:rsid w:val="00CE3605"/>
    <w:rsid w:val="00CE4720"/>
    <w:rsid w:val="00CF699F"/>
    <w:rsid w:val="00D00E51"/>
    <w:rsid w:val="00D05482"/>
    <w:rsid w:val="00D10437"/>
    <w:rsid w:val="00D4354C"/>
    <w:rsid w:val="00D54717"/>
    <w:rsid w:val="00D605E1"/>
    <w:rsid w:val="00D72624"/>
    <w:rsid w:val="00D9419D"/>
    <w:rsid w:val="00D95E40"/>
    <w:rsid w:val="00DB3B88"/>
    <w:rsid w:val="00DD3C1A"/>
    <w:rsid w:val="00DE14AB"/>
    <w:rsid w:val="00DE536A"/>
    <w:rsid w:val="00DF2A25"/>
    <w:rsid w:val="00E17082"/>
    <w:rsid w:val="00E22700"/>
    <w:rsid w:val="00E22DCA"/>
    <w:rsid w:val="00E27532"/>
    <w:rsid w:val="00E3064D"/>
    <w:rsid w:val="00E447A9"/>
    <w:rsid w:val="00E44D71"/>
    <w:rsid w:val="00E52997"/>
    <w:rsid w:val="00E70C77"/>
    <w:rsid w:val="00E7125F"/>
    <w:rsid w:val="00E72AA0"/>
    <w:rsid w:val="00E76F54"/>
    <w:rsid w:val="00E80BC1"/>
    <w:rsid w:val="00E82FED"/>
    <w:rsid w:val="00E85127"/>
    <w:rsid w:val="00EA0540"/>
    <w:rsid w:val="00EB190A"/>
    <w:rsid w:val="00ED7257"/>
    <w:rsid w:val="00EE4BB4"/>
    <w:rsid w:val="00F008BA"/>
    <w:rsid w:val="00F163F4"/>
    <w:rsid w:val="00F16F8A"/>
    <w:rsid w:val="00F341EE"/>
    <w:rsid w:val="00F3700A"/>
    <w:rsid w:val="00F4501E"/>
    <w:rsid w:val="00F5550E"/>
    <w:rsid w:val="00F6130D"/>
    <w:rsid w:val="00F65AEC"/>
    <w:rsid w:val="00F674AD"/>
    <w:rsid w:val="00F91BF0"/>
    <w:rsid w:val="00F9205E"/>
    <w:rsid w:val="00F93DF2"/>
    <w:rsid w:val="00F9431B"/>
    <w:rsid w:val="00F9764C"/>
    <w:rsid w:val="00FA1413"/>
    <w:rsid w:val="00FA406E"/>
    <w:rsid w:val="00FA4186"/>
    <w:rsid w:val="00FD22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A96EB"/>
  <w15:docId w15:val="{8D85C64F-BBBD-4701-9DE3-33BE8B04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rsid w:val="00456163"/>
    <w:pPr>
      <w:outlineLvl w:val="0"/>
    </w:pPr>
    <w:rPr>
      <w:b/>
      <w:bCs/>
    </w:rPr>
  </w:style>
  <w:style w:type="paragraph" w:styleId="Ttulo2">
    <w:name w:val="heading 2"/>
    <w:uiPriority w:val="9"/>
    <w:unhideWhenUsed/>
    <w:qFormat/>
    <w:rsid w:val="00C26D45"/>
    <w:pPr>
      <w:outlineLvl w:val="1"/>
    </w:pPr>
    <w:rPr>
      <w:b/>
      <w:bCs/>
      <w:sz w:val="26"/>
      <w:szCs w:val="26"/>
    </w:rPr>
  </w:style>
  <w:style w:type="paragraph" w:styleId="Ttulo3">
    <w:name w:val="heading 3"/>
    <w:basedOn w:val="Normal"/>
    <w:uiPriority w:val="9"/>
    <w:unhideWhenUsed/>
    <w:qFormat/>
    <w:rsid w:val="00C26D45"/>
    <w:pPr>
      <w:spacing w:line="480" w:lineRule="auto"/>
      <w:ind w:left="720"/>
      <w:outlineLvl w:val="2"/>
    </w:pPr>
    <w:rPr>
      <w:b/>
      <w:bCs/>
      <w:i/>
      <w:iCs/>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326A1E"/>
    <w:rPr>
      <w:color w:val="605E5C"/>
      <w:shd w:val="clear" w:color="auto" w:fill="E1DFDD"/>
    </w:rPr>
  </w:style>
  <w:style w:type="paragraph" w:styleId="Encabezado">
    <w:name w:val="header"/>
    <w:basedOn w:val="Normal"/>
    <w:link w:val="EncabezadoCar"/>
    <w:uiPriority w:val="99"/>
    <w:semiHidden/>
    <w:unhideWhenUsed/>
    <w:rsid w:val="009B2EF1"/>
    <w:pPr>
      <w:tabs>
        <w:tab w:val="center" w:pos="4419"/>
        <w:tab w:val="right" w:pos="8838"/>
      </w:tabs>
    </w:pPr>
  </w:style>
  <w:style w:type="character" w:customStyle="1" w:styleId="EncabezadoCar">
    <w:name w:val="Encabezado Car"/>
    <w:basedOn w:val="Fuentedeprrafopredeter"/>
    <w:link w:val="Encabezado"/>
    <w:uiPriority w:val="99"/>
    <w:semiHidden/>
    <w:rsid w:val="009B2EF1"/>
  </w:style>
  <w:style w:type="paragraph" w:styleId="Piedepgina">
    <w:name w:val="footer"/>
    <w:basedOn w:val="Normal"/>
    <w:link w:val="PiedepginaCar"/>
    <w:uiPriority w:val="99"/>
    <w:semiHidden/>
    <w:unhideWhenUsed/>
    <w:rsid w:val="009B2EF1"/>
    <w:pPr>
      <w:tabs>
        <w:tab w:val="center" w:pos="4419"/>
        <w:tab w:val="right" w:pos="8838"/>
      </w:tabs>
    </w:pPr>
  </w:style>
  <w:style w:type="character" w:customStyle="1" w:styleId="PiedepginaCar">
    <w:name w:val="Pie de página Car"/>
    <w:basedOn w:val="Fuentedeprrafopredeter"/>
    <w:link w:val="Piedepgina"/>
    <w:uiPriority w:val="99"/>
    <w:semiHidden/>
    <w:rsid w:val="009B2EF1"/>
  </w:style>
  <w:style w:type="character" w:styleId="Refdecomentario">
    <w:name w:val="annotation reference"/>
    <w:basedOn w:val="Fuentedeprrafopredeter"/>
    <w:uiPriority w:val="99"/>
    <w:semiHidden/>
    <w:unhideWhenUsed/>
    <w:rsid w:val="005F4F98"/>
    <w:rPr>
      <w:sz w:val="16"/>
      <w:szCs w:val="16"/>
    </w:rPr>
  </w:style>
  <w:style w:type="paragraph" w:styleId="Textocomentario">
    <w:name w:val="annotation text"/>
    <w:basedOn w:val="Normal"/>
    <w:link w:val="TextocomentarioCar"/>
    <w:uiPriority w:val="99"/>
    <w:unhideWhenUsed/>
    <w:rsid w:val="005F4F98"/>
    <w:rPr>
      <w:sz w:val="20"/>
      <w:szCs w:val="20"/>
    </w:rPr>
  </w:style>
  <w:style w:type="character" w:customStyle="1" w:styleId="TextocomentarioCar">
    <w:name w:val="Texto comentario Car"/>
    <w:basedOn w:val="Fuentedeprrafopredeter"/>
    <w:link w:val="Textocomentario"/>
    <w:uiPriority w:val="99"/>
    <w:rsid w:val="005F4F98"/>
    <w:rPr>
      <w:sz w:val="20"/>
      <w:szCs w:val="20"/>
    </w:rPr>
  </w:style>
  <w:style w:type="paragraph" w:styleId="Asuntodelcomentario">
    <w:name w:val="annotation subject"/>
    <w:basedOn w:val="Textocomentario"/>
    <w:next w:val="Textocomentario"/>
    <w:link w:val="AsuntodelcomentarioCar"/>
    <w:uiPriority w:val="99"/>
    <w:semiHidden/>
    <w:unhideWhenUsed/>
    <w:rsid w:val="005F4F98"/>
    <w:rPr>
      <w:b/>
      <w:bCs/>
    </w:rPr>
  </w:style>
  <w:style w:type="character" w:customStyle="1" w:styleId="AsuntodelcomentarioCar">
    <w:name w:val="Asunto del comentario Car"/>
    <w:basedOn w:val="TextocomentarioCar"/>
    <w:link w:val="Asuntodelcomentario"/>
    <w:uiPriority w:val="99"/>
    <w:semiHidden/>
    <w:rsid w:val="005F4F98"/>
    <w:rPr>
      <w:b/>
      <w:bCs/>
      <w:sz w:val="20"/>
      <w:szCs w:val="20"/>
    </w:rPr>
  </w:style>
  <w:style w:type="paragraph" w:styleId="Revisin">
    <w:name w:val="Revision"/>
    <w:hidden/>
    <w:uiPriority w:val="99"/>
    <w:semiHidden/>
    <w:rsid w:val="007D6268"/>
  </w:style>
  <w:style w:type="character" w:styleId="Hipervnculovisitado">
    <w:name w:val="FollowedHyperlink"/>
    <w:basedOn w:val="Fuentedeprrafopredeter"/>
    <w:uiPriority w:val="99"/>
    <w:semiHidden/>
    <w:unhideWhenUsed/>
    <w:rsid w:val="00F163F4"/>
    <w:rPr>
      <w:color w:val="96607D" w:themeColor="followedHyperlink"/>
      <w:u w:val="single"/>
    </w:rPr>
  </w:style>
  <w:style w:type="character" w:styleId="Textodelmarcadordeposicin">
    <w:name w:val="Placeholder Text"/>
    <w:basedOn w:val="Fuentedeprrafopredeter"/>
    <w:uiPriority w:val="99"/>
    <w:semiHidden/>
    <w:rsid w:val="003D5313"/>
    <w:rPr>
      <w:color w:val="666666"/>
    </w:rPr>
  </w:style>
  <w:style w:type="paragraph" w:customStyle="1" w:styleId="APA7">
    <w:name w:val="APA 7"/>
    <w:basedOn w:val="Normal"/>
    <w:link w:val="APA7Car"/>
    <w:autoRedefine/>
    <w:qFormat/>
    <w:rsid w:val="00BD7243"/>
    <w:pPr>
      <w:spacing w:line="480" w:lineRule="auto"/>
      <w:ind w:firstLine="709"/>
    </w:pPr>
    <w:rPr>
      <w:rFonts w:ascii="Arial" w:hAnsi="Arial"/>
    </w:rPr>
  </w:style>
  <w:style w:type="character" w:customStyle="1" w:styleId="APA7Car">
    <w:name w:val="APA 7 Car"/>
    <w:basedOn w:val="Fuentedeprrafopredeter"/>
    <w:link w:val="APA7"/>
    <w:rsid w:val="00BD7243"/>
    <w:rPr>
      <w:rFonts w:ascii="Arial" w:hAnsi="Arial"/>
    </w:rPr>
  </w:style>
  <w:style w:type="table" w:styleId="Tablanormal2">
    <w:name w:val="Plain Table 2"/>
    <w:basedOn w:val="Tablanormal"/>
    <w:uiPriority w:val="42"/>
    <w:rsid w:val="00A96B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uiPriority w:val="1"/>
    <w:qFormat/>
    <w:rsid w:val="00A96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8352/lq.10178" TargetMode="External"/><Relationship Id="rId18" Type="http://schemas.openxmlformats.org/officeDocument/2006/relationships/hyperlink" Target="https://nvd.nist.gov/vuln/detail/CVE-2022-31193" TargetMode="External"/><Relationship Id="rId26" Type="http://schemas.openxmlformats.org/officeDocument/2006/relationships/hyperlink" Target="https://owasp.org/www-project-web-security-testing-guide/" TargetMode="External"/><Relationship Id="rId3" Type="http://schemas.openxmlformats.org/officeDocument/2006/relationships/styles" Target="styles.xml"/><Relationship Id="rId21" Type="http://schemas.openxmlformats.org/officeDocument/2006/relationships/hyperlink" Target="https://nvd.nist.gov/vuln/detail/CVE-2023-5894" TargetMode="External"/><Relationship Id="rId7" Type="http://schemas.openxmlformats.org/officeDocument/2006/relationships/endnotes" Target="endnotes.xml"/><Relationship Id="rId12" Type="http://schemas.openxmlformats.org/officeDocument/2006/relationships/hyperlink" Target="https://www.first.org/cvss/specification-document" TargetMode="External"/><Relationship Id="rId17" Type="http://schemas.openxmlformats.org/officeDocument/2006/relationships/hyperlink" Target="https://nvd.nist.gov/" TargetMode="External"/><Relationship Id="rId25" Type="http://schemas.openxmlformats.org/officeDocument/2006/relationships/hyperlink" Target="https://owasp.org/Top10/" TargetMode="External"/><Relationship Id="rId2" Type="http://schemas.openxmlformats.org/officeDocument/2006/relationships/numbering" Target="numbering.xml"/><Relationship Id="rId16" Type="http://schemas.openxmlformats.org/officeDocument/2006/relationships/hyperlink" Target="https://attack.mitre.org/" TargetMode="External"/><Relationship Id="rId20" Type="http://schemas.openxmlformats.org/officeDocument/2006/relationships/hyperlink" Target="https://nvd.nist.gov/vuln/detail/CVE-2023-562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pace.org/join-the-community/" TargetMode="External"/><Relationship Id="rId24" Type="http://schemas.openxmlformats.org/officeDocument/2006/relationships/hyperlink" Target="https://nvd.nist.gov/vuln/detail/CVE-2024-2543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so.org/isoiec-27001-information-security.html" TargetMode="External"/><Relationship Id="rId23" Type="http://schemas.openxmlformats.org/officeDocument/2006/relationships/hyperlink" Target="https://nvd.nist.gov/vuln/detail/CVE-2024-24511" TargetMode="External"/><Relationship Id="rId28" Type="http://schemas.openxmlformats.org/officeDocument/2006/relationships/hyperlink" Target="https://doi.org/10.25126/jtiik.2020701928" TargetMode="External"/><Relationship Id="rId10" Type="http://schemas.openxmlformats.org/officeDocument/2006/relationships/hyperlink" Target="https://doi.org/10.24425/ijet.2025.153548" TargetMode="External"/><Relationship Id="rId19" Type="http://schemas.openxmlformats.org/officeDocument/2006/relationships/hyperlink" Target="https://nvd.nist.gov/vuln/detail/CVE-2022-3119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4028/p-FosZ2D" TargetMode="External"/><Relationship Id="rId14" Type="http://schemas.openxmlformats.org/officeDocument/2006/relationships/hyperlink" Target="https://www.iso.org/standard/76070.html" TargetMode="External"/><Relationship Id="rId22" Type="http://schemas.openxmlformats.org/officeDocument/2006/relationships/hyperlink" Target="https://nvd.nist.gov/vuln/detail/CVE-2023-6671" TargetMode="External"/><Relationship Id="rId27" Type="http://schemas.openxmlformats.org/officeDocument/2006/relationships/hyperlink" Target="https://pkp.sfu.ca/software/ojs/"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orcid.org/0000-0003-3198-7007" TargetMode="External"/><Relationship Id="rId1" Type="http://schemas.openxmlformats.org/officeDocument/2006/relationships/hyperlink" Target="mailto:jorgeliecerhernandezp@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FFE142-552D-40B0-AA59-ED7725D8A210}">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78622738013"/>
    <we:property name="MENDELEY_CITATIONS" value="[{&quot;citationID&quot;:&quot;MENDELEY_CITATION_22629ec0-22b4-45d0-86e2-7cc260a47dc2&quot;,&quot;properties&quot;:{&quot;noteIndex&quot;:0},&quot;isEdited&quot;:false,&quot;manualOverride&quot;:{&quot;isManuallyOverridden&quot;:false,&quot;citeprocText&quot;:&quot;(DSpace Community, 2023; Public Knowledge Project (PKP), n.d.)&quot;,&quot;manualOverrideText&quot;:&quot;&quot;},&quot;citationTag&quot;:&quot;MENDELEY_CITATION_v3_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&quot;,&quot;citationItems&quot;:[{&quot;id&quot;:&quot;ddb8c201-104c-3205-87fe-3b040f0cd609&quot;,&quot;itemData&quot;:{&quot;type&quot;:&quot;article&quot;,&quot;id&quot;:&quot;ddb8c201-104c-3205-87fe-3b040f0cd609&quot;,&quot;title&quot;:&quot;About DSpace&quot;,&quot;author&quot;:[{&quot;family&quot;:&quot;DSpace Community&quot;,&quot;given&quot;:&quot;&quot;,&quot;parse-names&quot;:false,&quot;dropping-particle&quot;:&quot;&quot;,&quot;non-dropping-particle&quot;:&quot;&quot;}],&quot;issued&quot;:{&quot;date-parts&quot;:[[2023]]},&quot;container-title-short&quot;:&quot;&quot;},&quot;isTemporary&quot;:false},{&quot;id&quot;:&quot;912e56ec-cacd-38be-bafa-f5bc1b264ee5&quot;,&quot;itemData&quot;:{&quot;type&quot;:&quot;webpage&quot;,&quot;id&quot;:&quot;912e56ec-cacd-38be-bafa-f5bc1b264ee5&quot;,&quot;title&quot;:&quot;Open Journal Systems (OJS) - Software - Public Knowledge Project&quot;,&quot;author&quot;:[{&quot;family&quot;:&quot;Public Knowledge Project (PKP)&quot;,&quot;given&quot;:&quot;&quot;,&quot;parse-names&quot;:false,&quot;dropping-particle&quot;:&quot;&quot;,&quot;non-dropping-particle&quot;:&quot;&quot;}],&quot;accessed&quot;:{&quot;date-parts&quot;:[[2026,5,6]]},&quot;URL&quot;:&quot;https://pkp.sfu.ca/software/ojs/&quot;,&quot;container-title-short&quot;:&quot;&quot;},&quot;isTemporary&quot;:false}]},{&quot;citationID&quot;:&quot;MENDELEY_CITATION_a22b0a6d-727b-4693-9ef4-b8dd05f96ae5&quot;,&quot;properties&quot;:{&quot;noteIndex&quot;:0},&quot;isEdited&quot;:false,&quot;manualOverride&quot;:{&quot;isManuallyOverridden&quot;:false,&quot;citeprocText&quot;:&quot;(National Institute of Standards and Technology (NIST), 2023)&quot;,&quot;manualOverrideText&quot;:&quot;&quot;},&quot;citationTag&quot;:&quot;MENDELEY_CITATION_v3_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&quot;,&quot;citationItems&quot;:[{&quot;id&quot;:&quot;c1e1ae42-b952-344e-b2ee-9031b9c8a548&quot;,&quot;itemData&quot;:{&quot;type&quot;:&quot;webpage&quot;,&quot;id&quot;:&quot;c1e1ae42-b952-344e-b2ee-9031b9c8a548&quot;,&quot;title&quot;:&quot;NVD - Home&quot;,&quot;author&quot;:[{&quot;family&quot;:&quot;National Institute of Standards and Technology (NIST)&quot;,&quot;given&quot;:&quot;&quot;,&quot;parse-names&quot;:false,&quot;dropping-particle&quot;:&quot;&quot;,&quot;non-dropping-particle&quot;:&quot;&quot;}],&quot;accessed&quot;:{&quot;date-parts&quot;:[[2026,5,6]]},&quot;URL&quot;:&quot;https://nvd.nist.gov/&quot;,&quot;issued&quot;:{&quot;date-parts&quot;:[[2023]]},&quot;container-title-short&quot;:&quot;&quot;},&quot;isTemporary&quot;:false}]},{&quot;citationID&quot;:&quot;MENDELEY_CITATION_60ed0894-58ba-46ed-aeb5-addc7c085553&quot;,&quot;properties&quot;:{&quot;noteIndex&quot;:0,&quot;mode&quot;:&quot;composite&quot;},&quot;isEdited&quot;:false,&quot;manualOverride&quot;:{&quot;isManuallyOverridden&quot;:false,&quot;citeprocText&quot;:&quot;Riadi et al. (2020)&quot;,&quot;manualOverrideText&quot;:&quot;&quot;},&quot;citationTag&quot;:&quot;MENDELEY_CITATION_v3_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&quot;,&quot;citationItems&quot;:[{&quot;id&quot;:&quot;79241060-3e0b-321a-8125-f808a3cd4c40&quot;,&quot;itemData&quot;:{&quot;type&quot;:&quot;article-journal&quot;,&quot;id&quot;:&quot;79241060-3e0b-321a-8125-f808a3cd4c40&quot;,&quot;title&quot;:&quot;Analisis Keamanan Website Open Journal System Menggunakan Metode  Vulnerability Assessment&quot;,&quot;author&quot;:[{&quot;family&quot;:&quot;Riadi&quot;,&quot;given&quot;:&quot;Imam&quot;,&quot;parse-names&quot;:false,&quot;dropping-particle&quot;:&quot;&quot;,&quot;non-dropping-particle&quot;:&quot;&quot;},{&quot;family&quot;:&quot;Yudhana&quot;,&quot;given&quot;:&quot;Anton&quot;,&quot;parse-names&quot;:false,&quot;dropping-particle&quot;:&quot;&quot;,&quot;non-dropping-particle&quot;:&quot;&quot;},{&quot;family&quot;:&quot;Korspondensi&quot;,&quot;given&quot;:&quot;Penulis&quot;,&quot;parse-names&quot;:false,&quot;dropping-particle&quot;:&quot;&quot;,&quot;non-dropping-particle&quot;:&quot;&quot;}],&quot;container-title&quot;:&quot;Jurnal Teknologi Informasi dan Ilmu Komputer&quot;,&quot;accessed&quot;:{&quot;date-parts&quot;:[[2026,5,6]]},&quot;DOI&quot;:&quot;10.25126/JTIIK.2020701928&quot;,&quot;ISSN&quot;:&quot;2528-6579&quot;,&quot;URL&quot;:&quot;https://jtiik.ub.ac.id/index.php/jtiik/article/view/1928&quot;,&quot;issued&quot;:{&quot;date-parts&quot;:[[2020,8,7]]},&quot;page&quot;:&quot;853-860&quot;,&quot;abstract&quot;:&quot;Open Journal System (OJS) merupakan perangkat lunak yang berfungsi sebagai sarana publikasi ilmiah dan digunakan diseluruh dunia. OJS yang tidak dipantau beresiko diserang oleh hacker.  Kerentanan yang di timbulkan oleh hacker akan berakibat buruk terhadap performa dari sebuah OJS.  Permasalahan yang dihadapi pada sistem OJS meliputi network, port discover, proses audit exploit sistem OJS. Proses audit sistem pada OJS mencakup SQL Injection, melewati firewall pembobolan password. Parameter input yang digunakan adalah IP address dan port open access. Metode yang digunakan adalah vulnerability assessment. Yang terdiri dari beberapa tahapan seperti information gathering atau footprinting, scanning vulnerability, reporting. Kegiatan ini bertujuan untuk mengidentifikasi celah keamanan pada website open journal system (OJS). Penelitian ini menggunakan open web application security project (OWASP). Pengujian yang telah dilakukan berhasil mengidentifikasi 70 kerentanan high, 1929 medium, 4050 low pada OJS, Total nilai vulnerability pada OJS yang di uji coba sebesar 6049. Hasil pengujian yang dilakukan menunjukkan bahwa pada OJS versi 2.4.7 memiliki banyak celah kerentanan atau vulnerability, tidak di rekomendasi untuk digunakan. Gunakanlah versi terbaru yang dikeluarkan oleh pihak OJS Public knowledge  project (PKP). AbstractThe Open Journal System (OJS) is A software that functions as a means of scientific publication and is used throughout the world. OJS that is not monitored is at risk of being attacked by hackers. Vulnerabilities caused by hackers will adversely affect the performance of an OJS. The problems faced by the OJS system include the network, port discover, OJS system audit exploit process. The system audit process on the OJS includes SQL Injection, bypassing the firewall breaking passwords. The input parameters used are the IP address and open access port. The method used is a vulnerability assessment. Which consists of several stages such as information gathering or footprinting, scanning vulnerability, reporting. This activity aims to identify security holes on the open journal system (OJS) website. This study uses an open web application security project (OWASP). Tests that have been carried out successfully identified 70 vulnerabilities high, 1929 medium, 4050 low in OJS, the total value of vulnerability in OJS which was tested was 6049. The results of tests conducted showed that in OJS version 2.4.7 had many vulnerabilities or vulnerabilities, not on recommendations for use. Use the latest version issued by the OJS Public Knowledge Project (PKP).&quot;,&quot;publisher&quot;:&quot;Fakultas Ilmu Komputer Universitas Brawijaya&quot;,&quot;issue&quot;:&quot;4&quot;,&quot;volume&quot;:&quot;7&quot;,&quot;container-title-short&quot;:&quot;&quot;},&quot;isTemporary&quot;:false,&quot;displayAs&quot;:&quot;composite&quot;,&quot;suppress-author&quot;:false,&quot;composite&quot;:true,&quot;author-only&quot;:false}]},{&quot;citationID&quot;:&quot;MENDELEY_CITATION_78a60478-7b43-441c-b8ac-a750432ad1b3&quot;,&quot;properties&quot;:{&quot;noteIndex&quot;:0,&quot;mode&quot;:&quot;composite&quot;},&quot;isEdited&quot;:false,&quot;manualOverride&quot;:{&quot;isManuallyOverridden&quot;:false,&quot;citeprocText&quot;:&quot;Buchyk et al. (2025)&quot;,&quot;manualOverrideText&quot;:&quot;&quot;},&quot;citationTag&quot;:&quot;MENDELEY_CITATION_v3_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&quot;,&quot;citationItems&quot;:[{&quot;id&quot;:&quot;93f9dcc2-23f8-3767-ad14-d056be2ba275&quot;,&quot;itemData&quot;:{&quot;type&quot;:&quot;article-journal&quot;,&quot;id&quot;:&quot;93f9dcc2-23f8-3767-ad14-d056be2ba275&quot;,&quot;title&quot;:&quot;Detection of XSS vulnerabilities in OJS&quot;,&quot;author&quot;:[{&quot;family&quot;:&quot;Buchyk&quot;,&quot;given&quot;:&quot;Serhii&quot;,&quot;parse-names&quot;:false,&quot;dropping-particle&quot;:&quot;&quot;,&quot;non-dropping-particle&quot;:&quot;&quot;},{&quot;family&quot;:&quot;Ziubina&quot;,&quot;given&quot;:&quot;Ruslana&quot;,&quot;parse-names&quot;:false,&quot;dropping-particle&quot;:&quot;&quot;,&quot;non-dropping-particle&quot;:&quot;&quot;},{&quot;family&quot;:&quot;Yuzhakova&quot;,&quot;given&quot;:&quot;Tetiana&quot;,&quot;parse-names&quot;:false,&quot;dropping-particle&quot;:&quot;&quot;,&quot;non-dropping-particle&quot;:&quot;&quot;},{&quot;family&quot;:&quot;Shabanova&quot;,&quot;given&quot;:&quot;Anastasiia&quot;,&quot;parse-names&quot;:false,&quot;dropping-particle&quot;:&quot;&quot;,&quot;non-dropping-particle&quot;:&quot;&quot;}],&quot;container-title&quot;:&quot;International Journal of Electronics and Telecommunications&quot;,&quot;DOI&quot;:&quot;10.24425/ijet.2025.153548&quot;,&quot;ISSN&quot;:&quot;23001933&quot;,&quot;issued&quot;:{&quot;date-parts&quot;:[[2025]]},&quot;page&quot;:&quot;101-106&quot;,&quot;abstract&quot;:&quot;This article analyzes XSS vulnerabilities in OJS (Open Journal Systems) and develops a model for protecting against these attacks. It discusses different types of XSS attacks, vulnerabilities in OJS, methods of detecting them, and potential consequences for system security. The article describes a specific vulnerability that can be exploited to inject malicious code through user input of specially generated data. Based on the analysis, a protection model is developed, which includes the introduction of restrictions for vulnerable fields, encoding, and filtering of data before displaying it on the page. This article is essential for OJS administrators and developers to ensure high security and protection against potential XSS attacks.&quot;,&quot;publisher&quot;:&quot;Polska Akademia Nauk&quot;,&quot;issue&quot;:&quot;1&quot;,&quot;volume&quot;:&quot;71&quot;,&quot;container-title-short&quot;:&quot;&quot;},&quot;isTemporary&quot;:false,&quot;displayAs&quot;:&quot;composite&quot;,&quot;suppress-author&quot;:false,&quot;composite&quot;:true,&quot;author-only&quot;:false}]},{&quot;citationID&quot;:&quot;MENDELEY_CITATION_8785bce7-9fce-4758-b0d6-6d45ed81c642&quot;,&quot;properties&quot;:{&quot;noteIndex&quot;:0,&quot;mode&quot;:&quot;composite&quot;},&quot;isEdited&quot;:false,&quot;manualOverride&quot;:{&quot;isManuallyOverridden&quot;:false,&quot;citeprocText&quot;:&quot;Formanek &amp;#38; Zaborsky (2017)&quot;,&quot;manualOverrideText&quot;:&quot;&quot;},&quot;citationTag&quot;:&quot;MENDELEY_CITATION_v3_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&quot;,&quot;citationItems&quot;:[{&quot;id&quot;:&quot;8f52e2f5-4ded-3c0d-9940-cb5dcb4534a7&quot;,&quot;itemData&quot;:{&quot;type&quot;:&quot;article-journal&quot;,&quot;id&quot;:&quot;8f52e2f5-4ded-3c0d-9940-cb5dcb4534a7&quot;,&quot;title&quot;:&quot;Web Interface Security Vulnerabilities of European Academic Repositories&quot;,&quot;author&quot;:[{&quot;family&quot;:&quot;Formanek&quot;,&quot;given&quot;:&quot;Matus&quot;,&quot;parse-names&quot;:false,&quot;dropping-particle&quot;:&quot;&quot;,&quot;non-dropping-particle&quot;:&quot;&quot;},{&quot;family&quot;:&quot;Zaborsky&quot;,&quot;given&quot;:&quot;Martin&quot;,&quot;parse-names&quot;:false,&quot;dropping-particle&quot;:&quot;&quot;,&quot;non-dropping-particle&quot;:&quot;&quot;}],&quot;container-title&quot;:&quot;LIBER Quarterly: The Journal of the Association of European Research Libraries&quot;,&quot;accessed&quot;:{&quot;date-parts&quot;:[[2026,5,6]]},&quot;DOI&quot;:&quot;10.18352/LQ.10178&quot;,&quot;ISSN&quot;:&quot;2213-056X&quot;,&quot;URL&quot;:&quot;https://liberquarterly.eu/article/view/10707/12962&quot;,&quot;issued&quot;:{&quot;date-parts&quot;:[[2017,2,24]]},&quot;page&quot;:&quot;45-57&quot;,&quot;abstract&quot;:&quot;The given analysis summarizes the status quo of the level of security of web interfaces of selected European academic repositories in the field of library and information science. It focuses on the presence and qualities of the secure HTTPS protocol via SSL/TLS protocols. The security of the transmitted data is particularly important in the network environment of the Internet, especially if log-in user data is transmitted. Disclosure may have a direct impact on saved digital objects and their metadata which together represent the most valuable parts of systems of digital libraries and repositories. Furthermore, the paper points to the most noticeable vulnerabilities of protocols of web interfaces and presents practical recommendations for the expert public. These may contribute to the increase of the level of security of the discussed systems. The authors base their proposals on the currently available scientific publications and scientific articles about the given topic.&quot;,&quot;publisher&quot;:&quot;Igitur, Utrecht Publishing and Archiving Services&quot;,&quot;issue&quot;:&quot;1&quot;,&quot;volume&quot;:&quot;27&quot;,&quot;container-title-short&quot;:&quot;&quot;},&quot;isTemporary&quot;:false,&quot;displayAs&quot;:&quot;composite&quot;,&quot;suppress-author&quot;:false,&quot;composite&quot;:true,&quot;author-only&quot;:false}]},{&quot;citationID&quot;:&quot;MENDELEY_CITATION_b54a2466-41c4-4d0a-81fc-a0448ebc73a6&quot;,&quot;properties&quot;:{&quot;noteIndex&quot;:0},&quot;isEdited&quot;:false,&quot;manualOverride&quot;:{&quot;isManuallyOverridden&quot;:false,&quot;citeprocText&quot;:&quot;(&lt;i&gt;Ley 1581 de 2012 - Gestor Normativo - Función Pública&lt;/i&gt;, n.d.)&quot;,&quot;manualOverrideText&quot;:&quot;&quot;},&quot;citationTag&quot;:&quot;MENDELEY_CITATION_v3_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&quot;,&quot;citationItems&quot;:[{&quot;id&quot;:&quot;036fe169-9d7d-31b2-a81e-021b39f337ce&quot;,&quot;itemData&quot;:{&quot;type&quot;:&quot;webpage&quot;,&quot;id&quot;:&quot;036fe169-9d7d-31b2-a81e-021b39f337ce&quot;,&quot;title&quot;:&quot;Ley 1581 de 2012 - Gestor Normativo - Función Pública&quot;,&quot;accessed&quot;:{&quot;date-parts&quot;:[[2026,5,6]]},&quot;URL&quot;:&quot;https://www.funcionpublica.gov.co/eva/gestornormativo/norma.php?i=49981&quot;,&quot;container-title-short&quot;:&quot;&quot;},&quot;isTemporary&quot;:false}]},{&quot;citationID&quot;:&quot;MENDELEY_CITATION_345714d7-0fae-467a-9917-5b6cd7f59832&quot;,&quot;properties&quot;:{&quot;noteIndex&quot;:0},&quot;isEdited&quot;:false,&quot;manualOverride&quot;:{&quot;isManuallyOverridden&quot;:false,&quot;citeprocText&quot;:&quot;(National Institute of Standards and Technology (NIST), 2023)&quot;,&quot;manualOverrideText&quot;:&quot;&quot;},&quot;citationTag&quot;:&quot;MENDELEY_CITATION_v3_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&quot;,&quot;citationItems&quot;:[{&quot;id&quot;:&quot;c1e1ae42-b952-344e-b2ee-9031b9c8a548&quot;,&quot;itemData&quot;:{&quot;type&quot;:&quot;webpage&quot;,&quot;id&quot;:&quot;c1e1ae42-b952-344e-b2ee-9031b9c8a548&quot;,&quot;title&quot;:&quot;NVD - Home&quot;,&quot;author&quot;:[{&quot;family&quot;:&quot;National Institute of Standards and Technology (NIST)&quot;,&quot;given&quot;:&quot;&quot;,&quot;parse-names&quot;:false,&quot;dropping-particle&quot;:&quot;&quot;,&quot;non-dropping-particle&quot;:&quot;&quot;}],&quot;accessed&quot;:{&quot;date-parts&quot;:[[2026,5,6]]},&quot;URL&quot;:&quot;https://nvd.nist.gov/&quot;,&quot;issued&quot;:{&quot;date-parts&quot;:[[2023]]},&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F3825-07AF-46B5-9CDB-6331082FF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4509</Words>
  <Characters>24802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Jorge Eliecer Hernandez Perez</cp:lastModifiedBy>
  <cp:revision>2</cp:revision>
  <dcterms:created xsi:type="dcterms:W3CDTF">2026-08-12T00:39:00Z</dcterms:created>
  <dcterms:modified xsi:type="dcterms:W3CDTF">2026-08-12T00:39:00Z</dcterms:modified>
</cp:coreProperties>
</file>